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新疆10米植被指数数据产品（2023年）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10.12389/ariddc.01277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33110.11.ariddc.01277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经过辐射校正和几何校正的2023年1月至10月哨兵2号光学卫星数据红、近红波段为数据源，通过计算得出的数据。数据为WGS84坐标系，墨卡托投影，精度为10米，以1:25万标准分幅存储，共151分幅，每月一期，共10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采用经过辐射校正和几何校正的2023年1月至10月哨兵2号光学卫星数据红、近红波段为数据源。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采用经过辐射校正和几何校正的2023年1月至10月哨兵2号光学卫星数据红、近红波段为数据源，通过计算公式NDVI=(Nir-Red)/(Nir+Red)计算得出结果。数据为WGS84坐标系，墨卡托投影，精度为10米，以1:25万标准分幅存储，共151分幅，每月一期，共10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数据生产按照中国国家标准标准号GB/T 41280-2022《卫星遥感影像植被指数产品规范》要求，采用经验模型法，经过辐射校正与几何校正，质量合格。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新疆全域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.pix格式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植被指数, 哨兵卫星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  王伟胜,  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杨辽,王伟胜,方晖. 新疆10米植被指数数据产品（2023年）. 干旱区生态与资源科学数据中心(https://data.dcxjegi.cn), 2025. https://cstr.cn/CSTR:33110.11.ariddc.01277.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