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新疆10米植被指数数据产品（2023年）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10.12389/ariddc.01277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经过辐射校正和几何校正的2023年1月至10月哨兵2号光学卫星数据红、近红波段为数据源，通过计算得出的数据。数据为WGS84坐标系，墨卡托投影，精度为10米，以1:25万标准分幅存储，共151分幅，每月一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采用经过辐射校正和几何校正的2023年1月至10月哨兵2号光学卫星数据红、近红波段为数据源。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经过辐射校正和几何校正的2023年1月至10月哨兵2号光学卫星数据红、近红波段为数据源，通过计算公式NDVI=(Nir-Red)/(Nir+Red)计算得出结果。数据为WGS84坐标系，墨卡托投影，精度为10米，以1:25万标准分幅存储，共151分幅，每月一期，共10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数据生产按照中国国家标准标准号GB/T 41280-2022《卫星遥感影像植被指数产品规范》要求，采用经验模型法，经过辐射校正与几何校正，质量合格。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植被指数, 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王伟胜,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杨辽,王伟胜,方晖. 新疆10米植被指数数据产品（2023年）. 干旱区生态与资源科学数据中心(https://data.dcxjegi.cn), 2025. https://cstr.cn/CSTR:33110.11.ariddc.01277.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