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新疆10米植被指数数据产品（2023年）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10.12389/ariddc.01277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经过辐射校正和几何校正的2023年1月至10月哨兵2号光学卫星数据红、近红波段为数据源，通过计算得出的数据。数据为WGS84坐标系，墨卡托投影，精度为10米，以1:25万标准分幅存储，共151分幅，每月一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采用经过辐射校正和几何校正的2023年1月至10月哨兵2号光学卫星数据红、近红波段为数据源。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用经过辐射校正和几何校正的2023年1月至10月哨兵2号光学卫星数据红、近红波段为数据源，通过计算公式NDVI=(Nir-Red)/(Nir+Red)计算得出结果。数据为WGS84坐标系，墨卡托投影，精度为10米，以1:25万标准分幅存储，共151分幅，每月一期，共10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数据生产按照中国国家标准标准号GB/T 41280-2022《卫星遥感影像植被指数产品规范》要求，采用经验模型法，经过辐射校正与几何校正，质量合格。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植被指数, 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王伟胜,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杨辽,王伟胜,方晖. 新疆10米植被指数数据产品（2023年）. 干旱区生态与资源科学数据中心(https://data.dcxjegi.cn), 2025. https://cstr.cn/CSTR:33110.11.ariddc.01277.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