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文化景观条件下湖泊类型变化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Changes in lake types under cultural landscape conditions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在人为因素（包括流域开发、工农业生产发展及湖滨休闲利用）影响下，对水化学类型各异的湖泊状况变化进行了研究。重点探讨了流域径流物质组成形成问题，将其视为水系统-水体之间联系的重要环节。书中还展示了利用人工曝气消除湖泊生态系统不良变化的可能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作者（编委会）：Г.С.希尔克罗特（Г.С. Шилькрот） 出版社：Издательство «Наука» 出版地：莫斯科 出版年：1979年 页数：159页 语种：俄文 馆藏条形码：XJLAS RU 70001997 分类号：УДК 577.472(28) (911.5/.7)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31219.2-2014图书馆馆藏资源数字化加工规范》，完全遵照《文化景观条件下湖泊类型变化》的数据信息，未改动删减。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对收集到的《文化景观条件下湖泊类型变化》进行电子化加工处理，按照国家标准《GB/T 31219.2-2014图书馆馆藏资源数字化加工规范》要求，未改动删减《文化景观条件下湖泊类型变化》的数据信息，数据质量可靠。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2025/08/06-2025/08/30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人工曝气,  流域开发,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湖沼学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文化景观条件下湖泊类型变化. 干旱区生态与资源科学数据中心(https://data.dcxjegi.cn), 2026. https://cstr.cn/CSTR:33110.11.ariddc.01671.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