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Landscape dynamics of Chui River Valley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collection contains the results of many years of research on the natural components and landscapes of the Chui Valley and the northern slope of the Kyrgyz Mountains. The geology-geomorphology, climate, hydrogeological characteristics, soil-vegetation coverage and the distribution laws of nature-regional complexes in the area were discussed. Focus on the dynamic aspects of natural processes.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R.Р. Krinitskaya, ④.С. Boduyev, Minh.К. Kapir-Kulov, С.К. Alamanov, ④.Н. Kurmatov.（Криницкая Р.Р.,Бодуев Т.С.,Капир-кулов М.К.,Аламанов С.К.,Кулматов Т.Н.） Published by: 丨 здательство К У к у У Published: Frunze Publication year: 1985 Pages: 137 pages Language: Russian Collection barcode: XJLAS RU 70008973 Classification No.: У п б 551.4(575.2)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"Chuyi River Valley Landscape Dynamics"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"Chuyi River Valley Landscape Dynamics" was electronically processed. In accordance with the requirements of the national standard "GB/T 31219.2-2014 Code for Digital Processing of Library Collection Resources", the data information of "Chuyi River Valley Landscape Dynamics" was not changed and deleted., and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time:2025/12/02-2025/12/02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place:Kirghiz Soviet Socialist Republic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Theme:Landscape dynamic, Chuy Valley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Place:Kirghiz Soviet Socialist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Landscape dynamics of Chui River Valley. Arid Land Ecology and Resources Science Data Center(https://data.dcxjegi.cn), 2026. https://cstr.cn/CSTR:33110.11.ariddc.01547.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