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新疆旅游业资源数据（2005年）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范围内的旅游景点的名称、类型、级别、地理位置、海拔高度以及归属的县市和景点的概况等信息，通过搜集整理新疆各地区和市县的2005年旅游发展规划文本，综合本单位历年整理和搜集的资料整理而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主要数据源包括： 1. 《塔城地区旅游资源基本类型普查表》、 2. 《阿克苏地区旅游资源普查及旅游业发展规划》、 3. 《昌吉回族自治州旅游资源普查及旅游业发展规划》、 4. 《博尔塔拉蒙古族自治州旅游业发展规划》、 5. 《喀什地区旅游资源普查及旅游业发展规划》 6. 、《伊犁地区旅游资源普查及旅游业发展规划》、 7. 《塔城地区旅游业发展及布局规划》、 8. 《乌鲁木齐市旅游发展规划》、 9. 《石河子市旅游发展规划》、 10. 《阿勒泰旅游发展规划》、 11. 《和田地区旅游发展规划》 上述数据由中国科学院新疆文献信息中心提供。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基本包括所有旅游景点的信息，字段完整。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旅游景点, 旅游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新疆旅游业资源数据（2005年）. 干旱区生态与资源科学数据中心(https://data.dcxjegi.cn), 2025. https://cstr.cn/CSTR:33110.11.ariddc.00456.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