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新疆旅游业资源数据（2005年）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范围内的旅游景点的名称、类型、级别、地理位置、海拔高度以及归属的县市和景点的概况等信息，通过搜集整理新疆各地区和市县的2005年旅游发展规划文本，综合本单位历年整理和搜集的资料整理而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主要数据源包括： 1. 《塔城地区旅游资源基本类型普查表》、 2. 《阿克苏地区旅游资源普查及旅游业发展规划》、 3. 《昌吉回族自治州旅游资源普查及旅游业发展规划》、 4. 《博尔塔拉蒙古族自治州旅游业发展规划》、 5. 《喀什地区旅游资源普查及旅游业发展规划》 6. 、《伊犁地区旅游资源普查及旅游业发展规划》、 7. 《塔城地区旅游业发展及布局规划》、 8. 《乌鲁木齐市旅游发展规划》、 9. 《石河子市旅游发展规划》、 10. 《阿勒泰旅游发展规划》、 11. 《和田地区旅游发展规划》 上述数据由中国科学院新疆文献信息中心提供。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基本包括所有旅游景点的信息，字段完整。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旅游,  旅游景点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新疆旅游业资源数据（2005年）. 干旱区生态与资源科学数据中心(https://data.dcxjegi.cn), 2025. https://cstr.cn/CSTR:33110.11.ariddc.00456.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