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新疆MODIS_1KM_8天合成总初级生产力产品（2000-2010年）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10.12389/ariddc.00555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33110.11.ariddc.00555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中分辨率成像光谱仪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以2000年-2010年MODIS的总初级生产力17A2分幅数据为数据源，数据分辩率为1KM，8天合成，利用ENVI软件平台，进行数据拼接、投影转换、边界裁切等影像处理，生成2000-2010年新疆总初级生产力数据,空间分辨率1000米，时间分辨率8天，投影采用GCS_WGS_1984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2000年-2010年MODIS的总初级生产力17A2分幅数据 新疆行政区界线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利用ENVI软件，进行数据拼接、投影转换、边界裁切等影像处理，生成ENVI Standard栅格数据 主要环节： 1. 数据拼接，选取新疆范围内的2000年-2010年MODIS的总初级生产力17A2分幅数据 2. 投影转换，投影转换为WGS84投影 3. 边界裁切，以新疆行政区界线裁切MODIS数据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未改变原始数据的分辨率，未增减原有数据属性信息。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1.9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总初级生产力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李均力. 新疆MODIS_1KM_8天合成总初级生产力产品（2000-2010年）. 干旱区生态与资源科学数据中心(https://data.dcxjegi.cn), 2025. https://cstr.cn/CSTR:33110.11.ariddc.00555.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