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车尔臣河水系、流域（山区）及高程分类数据集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车尔臣河水系由车尔臣河干流及其上游支流乌鲁克苏河、乌鲁格河、阿克苏河等组成。车尔臣河干流长度为760.48 km。车尔臣河流域山区部分的地理位置为36°09'16"N-38°20'37"N，85°32'25"E-88°11'47"E。流域面积为33,001.02 km²（Albers投影），流域边界长度为1,182.43 km（Lambert投影）。该部分流域面积的99.95%位于新疆维吾尔自治区巴音郭楞蒙古自治州（95.99%位于且末县，3.96%位于若羌县），0.05%位于西藏自治区那曲市双湖县。该部分流域高程划分为12种类型。该数据集基于Google earth影像、ASTER GDEM 30m数据、结合实测数据研发得到。数据集内容包括：（1）车尔臣河水系数据；（2）车尔臣河流域（山区）边界数据；（3）车尔臣河流域（山区）高程分类数据。数据集以.kmz、.shp与.tif数据格式存储，由31个数据文件组成，数据量为8.14 MB（压缩为3个文件，5.52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数据大百科,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车尔臣河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车尔臣河水系、流域（山区）及高程分类数据集. 干旱区生态与资源科学数据中心(https://data.dcxjegi.cn), 2025. https://www.doi.org/10.3974/geodb.2023.01.02.V1.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车尔臣河水系、流域（山区）及高程分类数据集[J].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