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2005年、2015年中亚干旱区土地利用土地覆被数据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本数据包含2005年、2015年两期中亚干旱区（包含新疆）土地利用土地覆被数据，空间分辨率300米，空间参考GCS_WGS_1984投影基准，数据以ARCGRID栅格格式存储。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2005年和2015年两期数据集从欧洲太空局 (ESA) 全球土地覆被类型数据获取，包括中亚五国（哈萨克斯坦、吉尔吉斯斯坦、塔吉克斯坦、土库曼斯坦和乌兹别克斯坦）和中国新疆。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2005年和2015年中亚土地利用和土地覆被数据集有22种土地利用类型，采用IPCC土地利用分类系统。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2005年和2015年整体解译精度达70%以上。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2020/06/01-2020/06/10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土库曼斯坦,   中国新疆,   塔吉克斯坦,   吉尔吉斯斯坦,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刘铁,  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张弛,刘铁,罗格平. 2005年、2015年中亚干旱区土地利用土地覆被数据. 干旱区生态与资源科学数据中心(https://data.dcxjegi.cn), 2025. https://cstr.cn/CSTR:33110.11.ariddc.00553.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