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苏联河流泥沙径流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由于平均含沙量地图的编制方法基本保持不变，作者认为没有必要在此对此进行比本工作中更详细的阐述。在结论部分指出了在泥沙径流研究不够充分的地区发展泥沙观测的必要性。 在苏联大规模进行水电、供水和干旱地区灌溉等水利工程的背景下，设计单位对河流泥沙径流及其年内分配的水文研究提出了要求。考虑到这些要求，国立水文研究所泥沙与水化学实验室在过去两年中对材料进行了系统整理和处理，以确定年均和月均含沙量及水浑浊度的多年平均值。 在作者早前发表的《苏联河流悬移质泥沙径流》[国立水文研究所著作集，第20(74)辑，1949年]中，给出了截至1945-1946年期间778个测站的数据，而本工作使用了截至1952年（含）的数据。在此期间，观测站数量增加到1015个，即增加了30%，相应地原有测站的观测时长也有所增加。测站数量的增加和观测期限的延长使得有可能更准确地确定水量和泥沙径流的多年平均特征，并几乎对所有测站提供了月均含沙量和浑浊度的表格数据。除表格数据外，本书还以大比例尺给出了苏联欧洲部分、高加索、中亚地区的平均河流含沙量详图，以及包括西伯利亚、远东和北哈萨克斯坦在内的整个苏联领土的综合图。本书对各个含沙量带的边界进行了详细描述。在编制地图时考虑了当地的景观和侵蚀条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И.沙莫夫（Г. И. Шамов） 出版社：Гидрометеоиздат 出版地：莫斯科 出版年：1956年 页数：253页 语种：俄文 馆藏条形码：XJLAS RU 70025969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31219.2-2014图书馆馆藏资源数字化加工规范》，完全遵照《苏联河流泥沙径流》的数据信息，未改动删减。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对收集到的《苏联河流泥沙径流》进行电子化加工处理，按照国家标准《GB/T 31219.2-2014图书馆馆藏资源数字化加工规范》要求，未改动删减《苏联河流泥沙径流》的数据信息，数据质量可靠。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2025/11/05-2025/11/05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水文,  泥沙径流, 含沙量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苏联河流泥沙径流. 干旱区生态与资源科学数据中心(https://data.dcxjegi.cn), 2026. https://cstr.cn/CSTR:33110.11.ariddc.01718.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