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 moisture status issues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book contains two studies. The first part is dedicated to discussing the centenary scale temporal variability of atmospheric precipitation and water balance factors of typical chernozem soil. The long-term precipitation series is analyzed by using the moving average method, series decomposition method, autocorrelation and spectral function method, and the concept of "basic period" is introduced. The long-term series of water balance factors in chernozem soil was analyzed by moving average and series decomposition methods. Another study discussed the condensation of atmospheric water vapor in soil, discussed the recharge methods of soil water vapor, and analyzed the rationality and possible mechanism of building an artificial atmospheric water vapor condenser. This book is intended for researchers in the fields of pedology, agroclimatology, hydrology and agronomy.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А.А. RogerА.РОДЕ) Published by: 丨 и дроме т е о издат Place of publication: Leningrad Publication year: 1978 Pages: 211 pages Language: Russian Collection barcode: XJLAS RU 70020140 Classification No.: У п б 551.577.3+551.574.41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without OCR recognition. The data processing process is in accordance with the national standard "GB/T 31219.2-2014 Specifications for Digital Processing of Library Collection Resources", and fully complies with the data information of "Scientific Foundations of Environmental Protection"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Moisture Status Issues" were processed electronically. In accordance with the requirements of the national standard "GB/T 31219.2-2014 Specifications for Digital Processing of Library Collection Resources", the data information of "Soil Moisture Status Issues"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Water vapor condensation, Precipitation, Chernozem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 moisture status issues. Arid Land Ecology and Resources Science Data Center(https://data.dcxjegi.cn), 2026. https://cstr.cn/CSTR:33110.11.ariddc.02122.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