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2010年新疆1:25万土地覆被数据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10.12389/ariddc.00383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33110.11.ariddc.00383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林地、草地、湿地、耕地、人工表面、其他等6个一级类型和38个二级类型，以1:10万新疆地形图、1:100万新疆土地利用数据、1:100万新疆草地资源数据、1:100万新疆林地资源数据、新疆地区30米分辨率的2010年度TM数据、空间格网精度不低于30米的DEM数据等为数据源，在ERDAS、eCognition和ArcGIS等环境下，通过专家分析和遥感自动分类相结合的方法，配合野外实地考察成果进行解译精度验证，按照内容和区域，采用专题制图的方式完成。各类型的定义和代码含义见本数据文档。给数据较能全面反映新疆2010年度土地覆被/土地利用现状情况，结合2000、2005年两期新疆土地覆被数据可反映新疆近10年来的土地覆被变化情况，为新疆土地利用研究和国家宏观决策提供科学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1. 1:100万新疆土地利用数据； 2. 30米分辨率的2010年度TM数据； 3. 30米分辨率的DEM数据； 4.辅助数据1:100万新疆草地资源数据（矢量），1:100万新疆林地资源数据（矢量）； 5. 2009-2010年实地考察定位获取的照片和记录资料。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在ERDAS、eCognition和ArcGIS等环境下，通过专家分析和遥感自动分类相结合的方法，配合野外实地考察成果进行解译精度验证，按照内容和区域，采用专题制图的方式完成的。主要环节： 基于1:100万新疆土地利用数据作为基本底图，作为制图的框架数据和控制基础； 基于2010年前后1-2年时间范围内的TM影像数据，通过叠加空间格网精度不低于30米的DEM数据，生成正射影像图，利用遥感影像分析软件Ecognition对正射图进行遥感解译，实现不同土地覆被类型的属性划分和制图； 在上述3种数据的基础上，结合人工目视判读，野外实地考察成果，进行全数字成图。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样区尺度的土地覆盖的一级类别总精度&gt;95%，二级类别总精度85%，森林、灌木的二级类别精度分别达到85%，其它单类别的最低精度&gt;65%；每个气候分区的二级类别总精度达到85%；变化检测二级类别总精度大于72%，单类别的最低精度&gt;42%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317.0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 土地覆被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吴世新. 2010年新疆1:25万土地覆被数据. 干旱区生态与资源科学数据中心(https://data.dcxjegi.cn), 2025. https://cstr.cn/CSTR:33110.11.ariddc.00383.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