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1999年新疆1：100万荒漠化状况数据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利用80年代中期、90年代初期TM、MSS卫片，1999年TM、SPOT卫片等不同尺度遥感影像，以及研究所积累的各种电子地理数据文件，构建新疆生态本底数据库，丰富、直观的反映了新疆的20世纪90年代荒漠化基本自然资源情况，数据覆盖全疆区域，比例尺1：100万，采用兰勃特等面积圆锥投影方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新疆林业厅1999年制作的新疆1：100万荒漠分布图，80年代中期、90年代初期TM、MSS卫片，1999年TM、SPOT卫片。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结合新疆荒漠分布图（1：100万）对TM等遥感数据进行解译。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扫描矢量化、重新编码。新疆草地资源数据库编码设计是建立在1：100万新疆荒漠化图基础上，采用该图荒漠化分类系统，根据该图图斑注记，结合编码原则来设计，采用11位数字码。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mdb格式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土地,  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1999年新疆1：100万荒漠化状况数据. 干旱区生态与资源科学数据中心(https://data.dcxjegi.cn), 2025. https://cstr.cn/CSTR:33110.11.ariddc.00373.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