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哈萨克斯坦地理问题（第4辑）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分为四个部分。第一部分探讨沙漠化的自然和社会经济层面。第二部分展示了世界上一些国家，包括非洲、近东、南亚、北美和南美以及澳大利亚在防治沙漠化方面的经验。第三部分聚焦苏联在综合区域发展基础上开发干旱地区的经验，列举了卡累利阿自治共和国的 “黑土地”、乌兹别克斯坦的草原、土库曼斯坦的卡拉库姆运河以及塔吉克斯坦的瓦赫什河谷等典型干旱地区实例。第四部分是结论，它总结了前三部分内容，并以精炼的形式给出了干旱地区经济发展的方法和综合规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出版年：1959年 页数：208页 语种：俄文 馆藏条形码：XJLASRU70002443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31219.2-2014图书馆馆藏资源数字化加工规范》，完全遵照《哈萨克斯坦地理问题（第4辑）》的数据信息，未改动删减。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对收集到的《哈萨克斯坦地理问题（第4辑）》进行电子化加工处理，按照国家标准《GB/T 31219.2-2014图书馆馆藏资源数字化加工规范》要求，未改动删减《哈萨克斯坦地理问题（第4辑）》的数据信息，数据质量可靠。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干旱区, 沙漠化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哈萨克斯坦,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哈萨克斯坦地理问题（第4辑）. 干旱区生态与资源科学数据中心(https://data.dcxjegi.cn), 2025. https://cstr.cn/CSTR:33110.11.ariddc.01093.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