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Precipitation and actual evapotranspiration in the Pamirs 1980-2019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data includes annual precipitation (Pr) and annual actual evapotranspiration (AET).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data comes from the TerraClimate dataset (https://www.climatologylab.org/terraclimate.html). TerraClimate uses climate-assisted interpolation to combine high-spatial-resolution climatological norms from the WorldClim dataset with coarser spatial-resolution but time-varying data from CRU Ts4.0 and Japan's 55-Year Reanalysis (JRA55). Conceptually, the program applies interpolated time-varying anomaly data from CRU Ts4.0/JRA55 to WorldClim's high spatial resolution climate dataset to create a high spatial resolution dataset that covers a wider range of time records. JRA55 is used only for solar radiation and wind speed, and TerraClimate uses a water balance model to generate a monthly surface water balance dataset.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size:10.2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format:GeoTiff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Theme:Evapotranspiration, Precipitation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Place:Pamirs Plateau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jing jing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author:zhang jing jing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long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jing jing. Precipitation and actual evapotranspiration in the Pamirs 1980-2019. Arid Land Ecology and Resources Science Data Center(https://data.dcxjegi.cn),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