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中亚MODIS_1km_16天合成植被指数产品（2000-2010年）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本数据以2000年-2010年MODIS的植被指数13A2分幅数据为数据源，数据分辩率为1KM，8天合成，利用ENVI软件平台，进行数据拼接、投影转换、边界裁切等影像处理，生成2000-2010年中亚植被指数数据。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2000年-2010年MODIS的植被指数13A2分幅数据 中亚行政区界线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数据拼接，选取中亚范围内的2000年-2010年MODIS的植被指数13A2分幅数据 2. 投影转换，投影转换为WGS84投影 3. 边界裁切，以中亚行政区界线裁切MODIS数据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塔吉克斯坦,   乌兹别克斯坦,  哈萨克斯坦,   吉尔吉斯斯坦,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中亚MODIS_1km_16天合成植被指数产品（2000-2010年）. 干旱区生态与资源科学数据中心(https://data.dcxjegi.cn), 2025. https://cstr.cn/CSTR:33110.11.ariddc.00522.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