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本数据以2000年-2010年MODIS的植被指数13A2分幅数据为数据源，数据分辩率为1KM，8天合成，利用ENVI软件平台，进行数据拼接、投影转换、边界裁切等影像处理，生成2000-2010年中亚植被指数数据。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数据拼接，选取中亚范围内的2000年-2010年MODIS的植被指数13A2分幅数据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哈萨克斯坦,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中亚MODIS_1km_16天合成植被指数产品（2000-2010年）. 干旱区生态与资源科学数据中心(https://data.dcxjegi.cn), 2025. https://cstr.cn/CSTR:33110.11.ariddc.00522.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