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自然环境和自然资源制图</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10.12389/ariddc.01760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33110.11.ariddc.01760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学术论文集，收录了在编制新版《世界自然环境和自然资源》综合地图集项目框架内，围绕小比例尺自然环境和自然资源地图内容研发所取得的首批科学方法论研究成果。所发表的材料涉及制图-地理学的一般性问题，即反映社会与自然环境相互作用的创新型地图编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作者（编委会）：Г.Д.里赫特尔, И.Н.丘克连科娃（Г.Д. Рихтер, И.Н. Чукленкова） 出版社：Издательство «Наука» 出版地：莫斯科 出版年：1983年 页数：172页 语种：俄文 馆藏条形码：XJLAS RU 70003415 分类号：УДК 528.9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31219.2-2014图书馆馆藏资源数字化加工规范》，完全遵照《自然环境和自然资源制图》的数据信息，未改动删减。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对收集到的《自然环境和自然资源制图》进行电子化加工处理，按照国家标准《GB/T 31219.2-2014图书馆馆藏资源数字化加工规范》要求，未改动删减《自然环境和自然资源制图》的数据信息，数据质量可靠。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2025/11/11-2025/11/11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地图,  方法论, 制图</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地图学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自然环境和自然资源制图. 干旱区生态与资源科学数据中心(https://data.dcxjegi.cn), 2026. https://cstr.cn/CSTR:33110.11.ariddc.01760.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