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第4卷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本专著可以分为三部分。第一部分探讨珍稀植物与新物种分类，记录了哈萨克斯坦天山地区 23种特有植物的地理分布与分类修订，通过染色体分析确认Gagea neo-popovii等新种的有效性。首次报道土库曼植物园引种的108种木本植物在干旱条件下的根系形态与菌根共生机制，发现水平根系扩展可提升抗旱能力。第二部分研究真菌与植物互作关系，描述新发现的真菌物种 Pleospora incarvilleae在宿主植物根系的定殖规律，揭示酸性环境（pH降低）可使小麦叶斑病菌孢子萌发率提升 25%-30%。对盘菌纲和伞菌纲代表物种的解剖学分析表明，其细胞结构与极端环境适应存在显著相关性。第三部分涉及植物系统分类与分子标记技术，修订了葱属（Allium）、黄芪属（Astragalus）的分类地位，提出基于核型特征和分子标记的种群鉴别方法。通过地衣和酵母菌的生态研究，探讨中亚山地植物的遗传多样性与地理隔离的关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出版年：1966年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 植物区系, 植物研究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第4卷. 干旱区生态与资源科学数据中心(https://data.dcxjegi.cn), 2025. https://cstr.cn/CSTR:33110.11.ariddc.00982.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