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中亚水文气象科学研究所论文集第2辑（总第17辑）气象学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Proceedings of the Central Asian Institute of Hydrometeorological Sciences, Series 2 (Series 17) Meteorology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10.12389/ariddc.02336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本论文集收录了有关自由大气辐射状况、总辐射与光谱辐射通量、饥饿草原热量平衡、地方性强风及其动力学特征的研究论文。 本论文集面向辐射测量学、气候学、高空气象学领域的专家，并可作为开垦新土地工作中的参考资料。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艾森施塔特（Б. А. Айзенштат） 出版社：Гидрометеорологическое издательство 出版地：列宁格勒 出版年：1959年 页数：266页 语种：俄文 馆藏条形码：XJLAS RU 70021362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31219.2-2014图书馆馆藏资源数字化加工规范》，完全遵照《哈中亚水文气象科学研究所论文集第2辑（总第17辑）气象学》的数据信息，未改动删减。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对收集到的《中亚水文气象科学研究所论文集第2辑（总第17辑）气象学》进行电子化加工处理，按照国家标准《GB/T 31219.2-2014图书馆馆藏资源数字化加工规范》要求，未改动删减《中亚水文气象科学研究所论文集第2辑（总第17辑）气象学》的数据信息，数据质量可靠。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大气环流, 风系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动力气象学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中亚水文气象科学研究所论文集第2辑（总第17辑）气象学. 干旱区生态与资源科学数据中心(https://data.dcxjegi.cn), 2026. https://cstr.cn/CSTR:33110.11.ariddc.02336.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