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2019年吉尔吉斯斯坦伊塞克湖流域10米种植结构</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10.12389/ariddc.00372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本数据集包含了伊塞克湖流域的种植结构，数据以.shp矢量格式存储，采用GCS_WGS_1984坐标系。分为菜地、草地、棉花等19个种植类别，36626个矢量斑块。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2019年哨兵2号数据。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从2019年中提取出5月-6月，7月-8月和9月-10月三个时间段，将每个时间段内云量最少，质量最高的哨兵2号数据拼接为一张完整地图，得到伊塞克湖流域三期哨兵2号遥感影像。在此基础上求出三期影像的NDVI结果，以哨兵2数据的不同波段和NDVI结果为基础，再结合耕地数据和实地采样数据，用随机森林算法对其分类，最终得到每个地块上的种植结构类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空间分辨率为10m×10m，时间分辨率为年，Kappa系数0.8。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2019/05/01-2019/10/31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伊塞克湖流域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种植结构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伊塞克湖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钱静,  刘铁,  陈朝亮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陈朝亮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钱静,刘铁,陈朝亮. 2019年吉尔吉斯斯坦伊塞克湖流域10米种植结构. 干旱区生态与资源科学数据中心(https://data.dcxjegi.cn), 2025. https://cstr.cn/CSTR:33110.11.ariddc.00372.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