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2019年吉尔吉斯斯坦伊塞克湖流域10米种植结构</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本数据集包含了伊塞克湖流域的种植结构，数据以.shp矢量格式存储，采用GCS_WGS_1984坐标系。分为菜地、草地、棉花等19个种植类别，36626个矢量斑块。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2019年哨兵2号数据。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从2019年中提取出5月-6月，7月-8月和9月-10月三个时间段，将每个时间段内云量最少，质量最高的哨兵2号数据拼接为一张完整地图，得到伊塞克湖流域三期哨兵2号遥感影像。在此基础上求出三期影像的NDVI结果，以哨兵2数据的不同波段和NDVI结果为基础，再结合耕地数据和实地采样数据，用随机森林算法对其分类，最终得到每个地块上的种植结构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空间分辨率为10m×10m，时间分辨率为年，Kappa系数0.8。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2019/05/01-2019/10/31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种植结构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钱静,  刘铁,  陈朝亮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陈朝亮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钱静,刘铁,陈朝亮. 2019年吉尔吉斯斯坦伊塞克湖流域10米种植结构. 干旱区生态与资源科学数据中心(https://data.dcxjegi.cn), 2025. https://cstr.cn/CSTR:33110.11.ariddc.00372.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