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2000年新疆1:25万土地覆被数据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10.12389/ariddc.00379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33110.11.ariddc.00379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离线申请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土地利用/土地覆被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包括林地、草地、湿地、耕地、人工表面、其他等6个一级类型和38个二级类型，以1:10万新疆地形图、1:100万新疆土地利用数据、1:100万新疆草地资源数据、1:100万新疆林地资源数据、新疆地区30米分辨率的2000年度TM数据、空间格网精度不低于30米的DEM数据等为数据源，在ERDAS、eCognition和ArcGIS等环境下，通过专家分析和遥感自动分类相结合的方法，配合野外实地考察成果进行解译精度验证，按照内容和区域，采用专题制图的方式完成。各类型的定义和代码含义见本数据文档。给数据较能全面反映新疆2000年度土地覆被/土地利用现状情况，结合2005、2010年两期新疆土地覆被数据可反映新疆近10年来的土地覆被变化情况，为新疆土地利用研究和国家宏观决策提供科学数据支持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1. 1:100万新疆土地利用数据； 2. 30米分辨率的2000年度TM数据； 3. 30米分辨率的DEM数据； 4.辅助数据1:100万新疆草地资源数据（矢量），1:100万新疆林地资源数据（矢量）； 5. 1999-2000年实地考察定位获取的照片和记录资料。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在ERDAS、eCognition和ArcGIS等环境下，通过专家分析和遥感自动分类相结合的方法，配合野外实地考察成果进行解译精度验证，按照内容和区域，采用专题制图的方式完成的。主要环节： 基于1:100万新疆土地利用数据作为基本底图，作为制图的框架数据和控制基础； 基于2000年前后1-2年时间范围内的TM影像数据，通过叠加空间格网精度不低于30米的DEM数据，生成正射影像图，利用遥感影像分析软件Ecognition对正射图进行遥感解译，实现不同土地覆被类型的属性划分和制图； 在上述3种数据的基础上，结合人工目视判读，野外实地考察成果，进行全数字成图。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样区尺度的土地覆盖的一级类别总精度&gt;95%，二级类别总精度85%，森林、灌木的二级类别精度分别达到85%，其它单类别的最低精度&gt;65%；每个气候分区的二级类别总精度达到85%；变化检测二级类别总精度大于72%，单类别的最低精度&gt;42%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2013/01/01-2013/12/31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312.2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shp格式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土地覆被, 土地利用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吴世新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吴世新. 2000年新疆1:25万土地覆被数据. 干旱区生态与资源科学数据中心(https://data.dcxjegi.cn), 2025. https://cstr.cn/CSTR:33110.11.ariddc.00379.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