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10.12389/ariddc.00978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3个部分。第一部分为植物分类学研究，详细记录了哈萨克斯坦地区维管植物和孢子植物的新物种、新变种及分类修订，涵盖黄芪属、鼠尾草属、菊科等类群，描述了283个模式标本的形态特征与分布。第二部分为标本馆藏与资源分析，介绍研究所Herbarium收藏的7.5万份标本，包括哈萨克斯坦本土及周边地区植物，重点分析了中亚特有属的地理分布与生态意义，如单型属Rhaphydophyton、Spiraeanthus等。第三部分为系统学与区系研究，探讨中亚植物区系的属级多样性，统计显示豆科、藜科、伞形科为优势类群，并涉及植物标本采集方法论及与其他科研机构的标本交换情况。全文为中亚干旱区植物多样性研究提供了基础数据，具有重要的分类学与生态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Голоскоков 出版社：哈萨克苏维埃社会主义共和国科学出版社 出版地：阿拉木图 出版年：1963年 页数：70页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植物研究,  植物区系,  植物多样性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第1卷. 干旱区生态与资源科学数据中心(https://data.dcxjegi.cn), 2025. https://cstr.cn/CSTR:33110.11.ariddc.00978.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