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新疆10m水体透明度数据集（2023年4-10月）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10.12389/ariddc.01330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数据为数据源，采样随机森林回归（RFR）方法构建新疆湖泊水体透明度遥感估算模型。数据为CGCS2000坐标系阿伯斯投影，精度为10米。数值系数为0.001，即数据像素值乘以0.001可得实际水体透明度（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采用2023年哨兵2号光学卫星数据为数据源。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2A/BMSI。Sentinel2A/BMSI拥有13个光谱波段，空间分辨率分别是10m、20m和60m，重访周期为10天，双星组网后为5天，在内陆水体表现了较好的性能。从欧空局哥白尼数据开放中心获取L1C数据。 采用欧空局提供的SEN2COR算法进行大气校正。但是SEN2COR为陆地大气校正算法，需要针对进一步去除天空光、太阳耀斑和残余气溶胶散射的影响： R_rs(λ)=(R(λ)-min⁡(R(865),R(2202)))/π 式中，Rrs为水体遥感反射率，R为SEN2COR校正获取的地表反射率。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scikit-learn软件包实现。 通过调整输入算法的最佳输入变量，各算法最优超参数通过格网化搜索方法获得。基于RFR算法精度较高：不确定性为（ϵ）为11.24%，偏差（β）为2.37%，斜率为0.97，均方根对数误差为0.119。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透明度算法精度较高，不确定性为（ϵ）为11.24%，偏差（β）为2.37%，斜率为0.97，均方根对数误差为0.119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水体透明度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新疆10m水体透明度数据集（2023年4-10月）. 干旱区生态与资源科学数据中心(https://data.dcxjegi.cn), 2025. https://cstr.cn/CSTR:33110.11.XIEG.XJSEDATA.2024.00100170.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