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1911-2018年咸海水文要素观测数据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本数据包含1911年至2018年咸海 、北海、西海、南海的年平均水位、年平均水面面积（千平方公里）、年平均体积（立方千米）3个水文特征值，以及各时间段咸海水位、水面积、水体体积动态图，图中按照不同时间段分北咸海和总咸海，总咸海又分为西部和东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数据资料来源: Project INTAS-0511 REBASOWS / SIC ICWC（Scientific-Information Center Interstate Commission for Water Coordination of Central Asia (SIC ICWC)中亚国家间水资源协调委员会科学信息中心）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303.4 KiB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水位,  水面积,  水文, 咸海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1911-2018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1911-2018年咸海水文要素观测数据.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