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采样随机森林回归（RFR）方法构建新疆湖泊叶绿素a浓度遥感估算模型。数据为CGCS2000坐标系阿伯斯投影，精度为10米。数值系数为0.001，即数据像素值乘以0.001可得实际水体叶绿素a浓度（μ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采用2023年哨兵2号光学卫星数据为数据源。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2A/BMSI。Sentinel2A/BMSI拥有13个光谱波段，空间分辨率分别是10m、20m和60m，重访周期为10天，双星组网后为5天，在内陆水体表现了较好的性能。从欧空局哥白尼数据开放中心获取L1C数据。 采用欧空局提供的SEN2COR算法进行大气校正。但是SEN2COR为陆地大气校正算法，需要针对进一步去除天空光、太阳耀斑和残余气溶胶散射的影响： R_rs(λ)=(R(λ)-min⁡(R(865),R(2202)))/π 式中，Rrs为水体遥感反射率，R为SEN2COR校正获取的地表反射率。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新疆10m水体叶绿素a数据集（2023年4-10月）. 干旱区生态与资源科学数据中心(https://data.dcxjegi.cn), 2025. https://cstr.cn/CSTR:33110.11.XIEG.XJSEDATA.2024.00100168.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