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沙漠植物的生态解剖学 第二卷：半灌木与亚半灌木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四部分。第一部分聚焦中亚干旱区地理气候，以藜科、豆科等 9 科 19 种半灌木 / 小半灌木（如麻黄、沙拐枣）为对象，分析其在极端环境下的生存基础，揭示地形（山地、荒漠）与气候（干旱少雨）对植被分布的影响。 第二部分重点解析了旱生结构：叶片具角质层增厚、气孔下陷（如猪毛菜属泡状毛）；根系主根深扎、侧根扩展（如沙冬青属根冠比增大）；茎部木质化高、维管束密集（如麻黄属厚壁细胞），部分物种茎含储水组织（如假木贼属），通过显微结构对比不同类群适应性差异。第三部分阐释了抗旱策略：叶片缩小表面积、形成复表皮减少蒸腾；根系深广分布提升吸水效率；茎部厚壁细胞增强支撑，储水细胞应对缺水。典型如驼绒藜属叶片肉质化、黄芪属根系储能，体现形态结构与干旱环境的协同进化。第四部分评估了物种固沙（沙蒿）、药用（甘草）等价值，针对栖息地碎片化问题，提出栖息地修复、监测网络构建及抗逆品种筛选策略，为中亚荒漠生态保护与农业可持续发展提供解剖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Бутник, О. А. Ашурметов, Р. Н. Нигманова, С. А. Пайзиева 出版社：乌兹别克斯坦科学院FAN出版社 出版地：乌兹别克斯坦—塔什干 出版年：2001年 页数：252页 语种：俄语 ISBN号： 分类号：UDC 581 (4+5+8), 582.66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沙漠植物的生态解剖学 第二卷：半灌木与亚半灌木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中亚沙漠植物的生态解剖学 第二卷：半灌木与亚半灌木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沙漠植物的生态解剖学 第二卷：半灌木与亚半灌木. 干旱区生态与资源科学数据中心(https://data.dcxjegi.cn), 2025. https://cstr.cn/CSTR:33110.11.ariddc.00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