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吉尔吉斯斯坦特别自然保护地</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33110.11.ariddc.294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吉尔吉斯斯坦环境政策的主要方向之一是建立和发展受特别保护的自然区，这在全国各地区的环境安全方面发挥着重要作用。 这些自然保护区在确保全国各地区的环境安全方面发挥着重要作用。吉尔吉斯斯坦和各地区不可持续的社会和经济变革增加了对自然环境的压力。土地集约开发、犁耕、水土流失和污染加剧了吉尔吉斯斯坦的自然景观退化。在这种情况下，有必要制定吉尔吉斯斯坦保护区进一步发展战略。吉尔吉斯斯坦保护区的进一步发展，需要寻找新的管理方法和模式。 本研究的目的是分析吉尔吉斯斯坦自然保护区系统的现状，确定新的管理方法和模式。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2024年发表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725.2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自然保护区,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吉尔吉斯斯坦特别自然保护地. 干旱区生态与资源科学数据中心(https://data.dcxjegi.cn), 2025. https://cstr.cn/CSTR:33110.11.ariddc.294.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