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新疆10m水体悬浮物数据集（2024年4-10月）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2024年哨兵2号光学卫星数据为数据源，采样随机森林回归（RFR）方法构建新疆湖泊水体悬浮物浓度遥感估算模型。数据为CGCS2000坐标系阿伯斯投影，精度为10米。数值系数为0.001，即数据像素值乘以0.001可得实际水体悬浮物浓度（mg/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采用2024年哨兵2号光学卫星数据L1C级别数据，数据可从欧空局哥白尼数据开放中心获取（https://dataspace.copernicus.eu/browser/）。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使用具有较好辐射性能的Sentinel 2 A/B MSI。Sentinel 2 A/B MSI拥有13个光谱波段，空间分辨率分别是10 m、20 m和60 m，重访周期为10天，双星组网后为5天，在内陆水体表现了较好的性能。从欧空局哥白尼数据开放中心获取L1C数据。 采用POLYMER算法进行大气校正。随后需要进一步去除天空光、太阳耀斑和残余气溶胶散射的影响： R_rs (λ)=(R(λ)-min⁡(R(865),R(2202)))/π 式中，Rrs为水体遥感反射率，R为POLYMER校正获取的地表反射率。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 scikit-learn软件包实现。 通过调整输入算法的最佳输入变量，各算法最优超参数通过格网化搜索方法获得。基于RFR算法精度较高：不确定性为（ϵ）为21.92%，偏差（β）为4.29%，斜率为0.64，均方根对数误差为0.235。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悬浮物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水体悬浮物浓度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50.20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新疆10m水体悬浮物数据集（2024年4-10月）. 干旱区生态与资源科学数据中心(https://data.dcxjegi.cn), 2025. https://cstr.cn/CSTR:33110.11.ariddc.01343.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