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2019年乌兹克克斯坦Nukus灌区农作物种植结构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2019年乌兹别克斯坦Nukus灌区农作物种植结构10M分辨率矢量数据。数据包含水域、玉米、水稻、小麦、棉花、（园地、葡萄、苹果、苜蓿、桃树）、（林地、桑树）、（弃耕地、休耕地、退耕地、荒地）、（大棚、蔬菜、苜蓿、啤酒花）、盐碱地、荒漠、草地等12大种植结构类别，种植面积信息，以shp矢量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种植结构是在GEE平台上利用随机森林算法并结合采集的样本点数据计算得出的，为了区分方便，在计算过程中我们将每一种相似作物类型用一个阿拉伯数字表示，计算完的.tif结果再用分区统计的方式链接到提取的耕地上，在这个过程中，我们把表示作物类型的字段保留下来，即max字段，每个阿拉伯数字对应的作物类型如下表所示：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Kappa系数80%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2019/01/08-2020/01/07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乌兹别克斯坦Nukus灌区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陆地表层遥感, 种植结构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Nukus灌区,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43.72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58.41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60.59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2019年乌兹克克斯坦Nukus灌区农作物种植结构. 干旱区生态与资源科学数据中心(https://data.dcxjegi.cn), 2025. https://cstr.cn/CSTR:33110.11.ariddc.00282.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