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2019年乌兹克克斯坦Nukus灌区农作物种植结构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2019年乌兹别克斯坦Nukus灌区农作物种植结构10M分辨率矢量数据。数据包含水域、玉米、水稻、小麦、棉花、（园地、葡萄、苹果、苜蓿、桃树）、（林地、桑树）、（弃耕地、休耕地、退耕地、荒地）、（大棚、蔬菜、苜蓿、啤酒花）、盐碱地、荒漠、草地等12大种植结构类别，种植面积信息，以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是在GEE平台上利用随机森林算法并结合采集的样本点数据计算得出的，为了区分方便，在计算过程中我们将每一种相似作物类型用一个阿拉伯数字表示，计算完的.tif结果再用分区统计的方式链接到提取的耕地上，在这个过程中，我们把表示作物类型的字段保留下来，即max字段，每个阿拉伯数字对应的作物类型如下表所示：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Kappa系数80%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2019/01/08-2020/01/07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乌兹别克斯坦Nukus灌区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陆地表层遥感,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Nukus灌区,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43.72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58.41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60.59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2019年乌兹克克斯坦Nukus灌区农作物种植结构. 干旱区生态与资源科学数据中心(https://data.dcxjegi.cn), 2025. https://cstr.cn/CSTR:33110.11.ariddc.00282.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