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2002年、2004年塔里木河干流上游流域1：10万土壤盐渍化数据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本数据集包含2002年、2004年两期塔里木河干流上游流域(N 40.3°，E 81.5°;N 41.4°，E 84.0°)盐渍化矢量数据。数据以mdb数据库格式存储, 比例尺1：10万，投影方式采用GCS_Xian_1980。该数据反映塔里木河上流因常年灌溉、洪水漫溢等原因导致的土壤盐碱化分布情况。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按照土壤盐渍化类型编码对两期（2002,2004）TM遥感影像数据进行预处理和人工解译分类，并加以实地验证和高精度验证所得的结果。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西安1980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土壤盐渍化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2002年、2004年塔里木河干流上游流域1：10万土壤盐渍化数据. 干旱区生态与资源科学数据中心(https://data.dcxjegi.cn), 2025. https://cstr.cn/CSTR:33110.11.ariddc.00377.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