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2002年、2004年塔里木河干流上游流域1：10万土壤盐渍化数据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本数据集包含2002年、2004年两期塔里木河干流上游流域(N 40.3°，E 81.5°;N 41.4°，E 84.0°)盐渍化矢量数据。数据以mdb数据库格式存储, 比例尺1：10万，投影方式采用GCS_Xian_1980。该数据反映塔里木河上流因常年灌溉、洪水漫溢等原因导致的土壤盐碱化分布情况。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按照土壤盐渍化类型编码对两期（2002,2004）TM遥感影像数据进行预处理和人工解译分类，并加以实地验证和高精度验证所得的结果。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西安1980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2002年、2004年塔里木河干流上游流域1：10万土壤盐渍化数据. 干旱区生态与资源科学数据中心(https://data.dcxjegi.cn), 2025. https://cstr.cn/CSTR:33110.11.ariddc.00377.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