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湖泊、森林、湿地、耕地、不透水层、冰雪、裸地、草地和其他等9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哨兵2号光学卫星数据为数据源，按照耕地、沙漠、冰川、湖泊、林地、草地、不透水层，裸地并按照区域及顺序，将全疆分为不同区域和不同类型图层。对每类要素，在全疆范围内选择样本，建立小样本库，通过样本增强、深度学习模型选择，得到全疆要素提取结果。按照该方法对每一地类要素进行深度学习提取，并将这一地类作为下一地类的掩膜，直至完成要求的所有地类。最后对信息提取的结果进行合并，得到完整的LUCC分类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a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2年）. 干旱区生态与资源科学数据中心(https://data.dcxjegi.cn), 2025. https://cstr.cn/CSTR:33110.11.XIEG.xjsedata.2022.00000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