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新疆1：25万荒漠数据（1975-2020年）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33110.11.XIEG.XJSEDATA.2022.00005927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数据精度采用三级质控质检方案，并采用野外采样验证的方法，确保荒漠精度大于85%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MSS、TM、ETM、OLI、Sentinal-2等多源遥感影像。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多源、多时相遥感影像，采用分区分层的决策树方法，首先基于e-Cognition遥感解译软件，完成面向对象多尺度影像分割。并通过叠加分析海拔、降水、气温、土壤、植被、地貌等单要素图，得到地学大尺度分区地块的二级类解译结果，在具有地学特征的大尺度分割单元基础上，继续以影像光谱特征作为分类评判依据，依次分层得到荒漠的解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本数据是在具有地学特征的大尺度分割单元基础上，继续以影像光谱特征作为分类评判依据，依次分层得到荒漠的解译结果。解译精度优于85%。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10-15年一期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时空分布, 荒漠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常存  ,  朱晓蓉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黎秀花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科考数据平台与标准体系建设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常存. 新疆1：25万荒漠数据（1975-2020年）. 干旱区生态与资源科学数据中心(https://data.dcxjegi.cn), 2024. https://cstr.cn/CSTR:33110.11.XIEG.XJSEDATA.2022.00005927.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