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中亚荒漠植物生态解剖学（第2卷）：半灌木与半灌木丛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10.12389/ariddc.01016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为乌兹别克斯坦科学院植物学研究中心的重要成果，系统研究了中亚荒漠区19种半灌木与半灌木丛（涉及藜科、豆科、败酱科等6科）的生态解剖学特征。通过分析其营养器官的形态发生与解剖结构，揭示了这类过渡性生物形态（介于灌木与草本之间）对干旱环境的适应机制，包括枝条枯落模式、木质化程度、维管束分布等关键性状。书中提出基于个体发育阶段的进化水平评估框架，为荒漠牧场植物资源利用（如饲用价值开发）提供理论基础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为乌兹别克斯坦科学院植物学研究中心的重要成果，系统研究了中亚荒漠区19种半灌木与半灌木丛（涉及藜科、豆科、败酱科等6科）的生态解剖学特征。通过分析其营养器官的形态发生与解剖结构，揭示了这类过渡性生物形态（介于灌木与草本之间）对干旱环境的适应机制，包括枝条枯落模式、木质化程度、维管束分布等关键性状。书中提出基于个体发育阶段的进化水平评估框架，为荒漠牧场植物资源利用（如饲用价值开发）提供理论基础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31219.2-2014图书馆馆藏资源数字化加工规范》，完全遵照《中亚荒漠植物生态解剖学（第2卷）：半灌木与半灌木丛》的数据信息，未改动删减。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对收集到的《中亚荒漠植物生态解剖学（第2卷）：半灌木与半灌木丛》进行电子化加工处理，按照国家标准《GB/T 31219.2-2014图书馆馆藏资源数字化加工规范》要求，未改动删减《中亚荒漠植物生态解剖学（第2卷）：半灌木与半灌木丛》的数据信息，数据质量可靠。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85.7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荒漠植物,  植物解剖学,  生态形态学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中亚荒漠植物生态解剖学（第2卷）：半灌木与半灌木丛. 干旱区生态与资源科学数据中心(https://data.dcxjegi.cn), 2025. https://cstr.cn/CSTR:33110.11.ariddc.01016.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