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中亚荒漠植物生态解剖学（第2卷）：半灌木与半灌木丛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为乌兹别克斯坦科学院植物学研究中心的重要成果，系统研究了中亚荒漠区19种半灌木与半灌木丛（涉及藜科、豆科、败酱科等6科）的生态解剖学特征。通过分析其营养器官的形态发生与解剖结构，揭示了这类过渡性生物形态（介于灌木与草本之间）对干旱环境的适应机制，包括枝条枯落模式、木质化程度、维管束分布等关键性状。书中提出基于个体发育阶段的进化水平评估框架，为荒漠牧场植物资源利用（如饲用价值开发）提供理论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为乌兹别克斯坦科学院植物学研究中心的重要成果，系统研究了中亚荒漠区19种半灌木与半灌木丛（涉及藜科、豆科、败酱科等6科）的生态解剖学特征。通过分析其营养器官的形态发生与解剖结构，揭示了这类过渡性生物形态（介于灌木与草本之间）对干旱环境的适应机制，包括枝条枯落模式、木质化程度、维管束分布等关键性状。书中提出基于个体发育阶段的进化水平评估框架，为荒漠牧场植物资源利用（如饲用价值开发）提供理论基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31219.2-2014图书馆馆藏资源数字化加工规范》，完全遵照《中亚荒漠植物生态解剖学（第2卷）：半灌木与半灌木丛》的数据信息，未改动删减。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对收集到的《中亚荒漠植物生态解剖学（第2卷）：半灌木与半灌木丛》进行电子化加工处理，按照国家标准《GB/T 31219.2-2014图书馆馆藏资源数字化加工规范》要求，未改动删减《中亚荒漠植物生态解剖学（第2卷）：半灌木与半灌木丛》的数据信息，数据质量可靠。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 生态形态学,  植物解剖学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中亚荒漠植物生态解剖学（第2卷）：半灌木与半灌木丛. 干旱区生态与资源科学数据中心(https://data.dcxjegi.cn), 2025. https://cstr.cn/CSTR:33110.11.ariddc.01016.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