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SSA法填补后的GRACE数据产品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GRACE data products after SSA method filling</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本数据集是GRACE/GRACE-FO RL06 Mascon Solutions数据产品，具体包括：JPL-M、CSR-M、GSFC-M。本数据是SSA法填补后的数据，格式为Geotiff格式，空间分辨率为0.5°。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使用Singular Spectrum Analysis (SSA)法弥补GRACE与GRACE-FO RL06 Mascon Solutions数据产品（JPL-M、CSR-M、GSFC-M）中间一年多的数据间断及各自数据之间存在的个别月份的缺失数据，为中蒙阿尔泰区域长期的陆地水储量变化分析提供了完整的时间序列，并将CSR产品重采样至0.5°。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陆地水储量, GRACE产品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中蒙阿尔泰区域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闫英杰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闫英杰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闫英杰. SSA法填补后的GRACE数据产品.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