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新疆10米植被指数数据产品（2019年）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10.12389/ariddc.01271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33110.11.ariddc.01271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经过辐射校正和几何校正的2019年1月至10月哨兵2号光学卫星数据红、近红波段为数据源，通过计算得出的数据。数据为WGS84坐标系，墨卡托投影，精度为10米，以1:25万标准分幅存储，共151分幅，每月一期，共10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采用经过辐射校正和几何校正的2019年1月至10月哨兵2号光学卫星数据红、近红波段为数据源。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采用经过辐射校正和几何校正的2019年1月至10月哨兵2号光学卫星数据红、近红波段为数据源，通过计算公式NDVI=(Nir-Red)/(Nir+Red)计算得出结果。数据为WGS84坐标系，墨卡托投影，精度为10米，以1:25万标准分幅存储，共151分幅，每月一期，共10期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数据生产按照中国国家标准标准号GB/T 41280-2022《卫星遥感影像植被指数产品规范》要求，采用经验模型法，经过辐射校正与几何校正，质量合格。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新疆全域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2.8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.pix格式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墨卡托投影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哨兵卫星,  植被指数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  王伟胜,  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杨辽,王伟胜,方晖. 新疆10米植被指数数据产品（2019年）. 干旱区生态与资源科学数据中心(https://data.dcxjegi.cn), 2025. https://cstr.cn/CSTR:33110.11.ariddc.01271.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