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新疆1:100万植被指数数据产品（2000-2013年）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10.12389/ariddc.00643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33110.11.ariddc.00643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以2000年-2013年新疆范围的MODIS的植被指数13A2分幅数据为数据源，利用ENVI软件平台，进行数据拼接、投影转换、边界裁切等影像处理，生成2000-2013年新疆地区植被指数数据，数据分辩率为1KM，16天合成，该数据可为研究新疆地区生态环境变化提供科学数据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a) 2000年-2013年MODIS的植被指数13A2分幅数据 b) 新疆分县行政区界线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利用ENVI软件，进行数据拼接、投影转换、边界裁切等影像处理，生成ENVI Standard栅格数据 主要环节： 1. 数据拼接，选取新疆地区范围内的2000-2013年MODIS的植被指数13A2分幅数据 2. 投影转换，投影转换为WGS84投影 3. 边界裁切，以新疆分县行政区界线合并生成新疆地区边界矢量文件，用于裁切MODIS数据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未改变原始数据的分辨率，未增减原有数据属性信息。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2.5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植被指数,  NDVI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李均力. 新疆1:100万植被指数数据产品（2000-2013年）. 干旱区生态与资源科学数据中心(https://data.dcxjegi.cn), 2025. https://cstr.cn/CSTR:33110.11.ariddc.00643.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