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里海低地西北部自然变化</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changes in the northwest of the Caspian Lowland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为了合理利用自然财富，必须清楚地认识正在我们眼前发生的景观变化。这些变化既是自然过程的结果，也是人类经济活动的结果。许多自然过程进行得如此缓慢，以至于在平原地区，近几个世纪以来具有实际意义的可能只是气候的世纪性波动及其相关现象。而人类的经济活动则相反，会引起地理环境迅速而深刻的变化。然而，人类对自然影响的许多方面尚未充分阐明，其活动的实际意义常常被低估甚至完全被忽视。 本书试图揭示里海低地西北部粘土质半荒漠地区近两个世纪以来，在人类经济活动影响和湿润程度世纪性波动作用下，植被覆盖和动物界所发生的变化。其中特别关注作为经济活动主要方面的副产物过程，因为它们最常被忽略。书中不涉及各种经济活动的直接结果，也不涉及促成里海低地西北部景观人为特征出现的经济关系特点。这一问题虽然极具研究价值，但已远远超出了生物学研究的范围。 本书的材料基础是作者1950—1956年在苏联科学院森林研究所贾内别克定位站进行的野外研究，以及档案和文献资料。居民点、河流和湖泊名称依据1947年版西哈萨克斯坦州行政区划图。在工作过程中，作者得到了А.А.罗德、А.Г.加耶利、М.Н.波利斯基、К.С.霍达绍娃、Ю.А.伊萨科夫、С.Д.埃尔佩特、С.Н.卡兰金娜、Л.К.波兹尼亚科夫、В.И.察尔金和П.В.马捷金的建议和帮助，作者向他们表示诚挚的感谢。</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作者（编委会）：Л. Г.迪涅斯曼（Л. Г. Динесман） 出版社：Издательство Академии наук СССР 出版地：莫斯科 出版年：1960年 页数：158页 语种：俄文 馆藏条形码：XJLAS RU 70002021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31219.2-2014图书馆馆藏资源数字化加工规范》，完全遵照《里海低地西北部自然变化》的数据信息，未改动删减。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对收集到的《里海低地西北部自然变化》进行电子化加工处理，按照国家标准《GB/T 31219.2-2014图书馆馆藏资源数字化加工规范》要求，未改动删减《里海低地西北部自然变化》的数据信息，数据质量可靠。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2025/07/21-2025/07/21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里海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景观变化,  粘土质半荒漠, 里海</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里海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里海低地西北部自然变化. 干旱区生态与资源科学数据中心(https://data.dcxjegi.cn), 2026. https://cstr.cn/CSTR:33110.11.ariddc.02096.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