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2000、2010年中亚地区MODIS_250米EVI植被指数数据集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2000年年平均和2010年4月1日至9月31日每16天平均增强植被指数（EVI）数据，数据分辨率250米，反映了该地区地表植被覆盖状况，相对于NDVI（归一化植被指数），EVI减少了背景和大气噪音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数据源来自2000、2010年的MODIS13A2数据。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该数据利用MOD13A2数据，经过拼接、剪裁、投影变换等流程，分别获得中亚地区2000年和2010年4月1日至9月31日每16天的植被指数，再计算得到平均植被指数。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增强植被指数,  遥感产品,  EVI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2000、2010年中亚地区MODIS_250米EVI植被指数数据集. 干旱区生态与资源科学数据中心(https://data.dcxjegi.cn), 2024. https://cstr.cn/CSTR:33110.11.ariddc.00130.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