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EVI植被指数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2000年年平均和2010年4月1日至9月31日每16天平均增强植被指数（EVI）数据，数据分辨率250米，反映了该地区地表植被覆盖状况，相对于NDVI（归一化植被指数），EVI减少了背景和大气噪音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2000、2010年的MODIS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利用MOD13A2数据，经过拼接、剪裁、投影变换等流程，分别获得中亚地区2000年和2010年4月1日至9月31日每16天的植被指数，再计算得到平均植被指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增强植被指数,  EVI,  遥感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塔吉克斯坦,  吉尔吉斯斯坦,  乌兹别克斯坦,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EVI植被指数数据集. 干旱区生态与资源科学数据中心(https://data.dcxjegi.cn), 2024. https://cstr.cn/CSTR:33110.11.ariddc.0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