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乌兹别克斯坦自然保护区</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介绍了乌兹别克斯坦自然保护区的生态价值与生物多样性保护实践。内容涵盖森林生态系统的水文调节功能（1公顷森林年净化空气1800万立方米）、濒危物种保护（近50年已消失的突厥斯坦虎、亚洲猎豹等物种），以及野生种质资源在农业育种中的应用案例（如野生棉与栽培棉杂交培育抗萎病品种“塔什干”）。特别强调了自然保护区作为生物基因库对维持生态平衡和促进可持续发展的战略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И. 拉采克（В. И. Рацек，主编） 出版社：Издательство «Узбекистан» 出版地：塔什干 出版年：1980年 页数：71页 语种：俄文 馆藏条形码：XJLASRU70020557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31219.2-2014图书馆馆藏资源数字化加工规范》，完全遵照《乌兹别克斯坦自然保护区》的数据信息，未改动删减。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对收集到的《全球地形演化与水交换》进行电子化加工处理，按照国家标准《GB/T 31219.2-2014图书馆馆藏资源数字化加工规范》要求，未改动删减《全球地形演化与水交换》的数据信息，数据质量可靠。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  生物多样性,  自然保护区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乌兹别克斯坦自然保护区. 干旱区生态与资源科学数据中心(https://data.dcxjegi.cn), 2025. https://cstr.cn/CSTR:33110.11.ariddc.01137.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