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乌兹别克斯坦自然保护区</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介绍了乌兹别克斯坦自然保护区的生态价值与生物多样性保护实践。内容涵盖森林生态系统的水文调节功能（1公顷森林年净化空气1800万立方米）、濒危物种保护（近50年已消失的突厥斯坦虎、亚洲猎豹等物种），以及野生种质资源在农业育种中的应用案例（如野生棉与栽培棉杂交培育抗萎病品种“塔什干”）。特别强调了自然保护区作为生物基因库对维持生态平衡和促进可持续发展的战略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И. 拉采克（В. И. Рацек，主编） 出版社：Издательство «Узбекистан» 出版地：塔什干 出版年：1980年 页数：71页 语种：俄文 馆藏条形码：XJLASRU70020557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31219.2-2014图书馆馆藏资源数字化加工规范》，完全遵照《乌兹别克斯坦自然保护区》的数据信息，未改动删减。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对收集到的《全球地形演化与水交换》进行电子化加工处理，按照国家标准《GB/T 31219.2-2014图书馆馆藏资源数字化加工规范》要求，未改动删减《全球地形演化与水交换》的数据信息，数据质量可靠。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自然保护区, 生态,  生物多样性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乌兹别克斯坦自然保护区. 干旱区生态与资源科学数据中心(https://data.dcxjegi.cn), 2025. https://cstr.cn/CSTR:33110.11.ariddc.01137.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