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乌兹别克斯坦自然保护区</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系统介绍了乌兹别克斯坦自然保护区的生态价值与生物多样性保护实践。内容涵盖森林生态系统的水文调节功能（1公顷森林年净化空气1800万立方米）、濒危物种保护（近50年已消失的突厥斯坦虎、亚洲猎豹等物种），以及野生种质资源在农业育种中的应用案例（如野生棉与栽培棉杂交培育抗萎病品种“塔什干”）。特别强调了自然保护区作为生物基因库对维持生态平衡和促进可持续发展的战略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И. 拉采克（В. И. Рацек，主编） 出版社：Издательство «Узбекистан» 出版地：塔什干 出版年：1980年 页数：71页 语种：俄文 馆藏条形码：XJLASRU70020557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31219.2-2014图书馆馆藏资源数字化加工规范》，完全遵照《乌兹别克斯坦自然保护区》的数据信息，未改动删减。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对收集到的《全球地形演化与水交换》进行电子化加工处理，按照国家标准《GB/T 31219.2-2014图书馆馆藏资源数字化加工规范》要求，未改动删减《全球地形演化与水交换》的数据信息，数据质量可靠。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自然保护区, 生态,  生物多样性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乌兹别克斯坦自然保护区. 干旱区生态与资源科学数据中心(https://data.dcxjegi.cn), 2025. https://cstr.cn/CSTR:33110.11.ariddc.01137.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