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乌兹别克斯坦自然保护区</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10.12389/ariddc.01137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系统介绍了乌兹别克斯坦自然保护区的生态价值与生物多样性保护实践。内容涵盖森林生态系统的水文调节功能（1公顷森林年净化空气1800万立方米）、濒危物种保护（近50年已消失的突厥斯坦虎、亚洲猎豹等物种），以及野生种质资源在农业育种中的应用案例（如野生棉与栽培棉杂交培育抗萎病品种“塔什干”）。特别强调了自然保护区作为生物基因库对维持生态平衡和促进可持续发展的战略意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И. 拉采克（В. И. Рацек，主编） 出版社：Издательство «Узбекистан» 出版地：塔什干 出版年：1980年 页数：71页 语种：俄文 馆藏条形码：XJLASRU70020557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31219.2-2014图书馆馆藏资源数字化加工规范》，完全遵照《乌兹别克斯坦自然保护区》的数据信息，未改动删减。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对收集到的《全球地形演化与水交换》进行电子化加工处理，按照国家标准《GB/T 31219.2-2014图书馆馆藏资源数字化加工规范》要求，未改动删减《全球地形演化与水交换》的数据信息，数据质量可靠。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2025/06/04-2025/06/04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自然保护区, 生态,  生物多样性</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乌兹别克斯坦自然保护区. 干旱区生态与资源科学数据中心(https://data.dcxjegi.cn), 2025. https://cstr.cn/CSTR:33110.11.ariddc.01137.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