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2000-2020年咸海流域300米土地利用数据集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咸海流域2000-2020年11年的土地利用栅格数据。该数据集是在欧洲航天局的气候变化倡议土地覆盖地图基础上，经过叠加咸海流域边界矢量数据进行掩膜处理、类别合并，最终得到自然植被、人工植被、水体、裸地、湿地、冰雪、城市与建筑区域7个土地利用类型的一级类数据，WGS-1984坐标系，空间分辨率300米，整体准确率达到80%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该数据集来源于欧洲航天局的气候变化倡议土地覆盖地图（http://maps.elie.ucl.ac.be/CCI）。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土地覆盖地图的基础上用咸海流域的边界数据进行掩膜处理，提取出咸海流域的土地利用，同时，根据一定的规则进行合并，将原始的二级类数据合并为包含7个土地利用类型的一级类数据，坐标系为：WGS-1984，空间分辨率300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该数据集的整体准确率达到80%。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 ,  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2000-2020年咸海流域300米土地利用数据集. 干旱区生态与资源科学数据中心(https://data.dcxjegi.cn), 2025. https://cstr.cn/CSTR:33110.11.ariddc.00315.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