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2000-2020年咸海流域300米土地利用数据集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10.12389/ariddc.00315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咸海流域2000-2020年11年的土地利用栅格数据。该数据集是在欧洲航天局的气候变化倡议土地覆盖地图基础上，经过叠加咸海流域边界矢量数据进行掩膜处理、类别合并，最终得到自然植被、人工植被、水体、裸地、湿地、冰雪、城市与建筑区域7个土地利用类型的一级类数据，WGS-1984坐标系，空间分辨率300米，整体准确率达到80%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该数据集来源于欧洲航天局的气候变化倡议土地覆盖地图（http://maps.elie.ucl.ac.be/CCI）。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土地覆盖地图的基础上用咸海流域的边界数据进行掩膜处理，提取出咸海流域的土地利用，同时，根据一定的规则进行合并，将原始的二级类数据合并为包含7个土地利用类型的一级类数据，坐标系为：WGS-1984，空间分辨率300米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该数据集的整体准确率达到80%。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土地覆被,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  ,  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2000-2020年咸海流域300米土地利用数据集. 干旱区生态与资源科学数据中心(https://data.dcxjegi.cn), 2025. https://cstr.cn/CSTR:33110.11.ariddc.00315.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