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2000-2020年咸海流域300米土地利用数据集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咸海流域2000-2020年11年的土地利用栅格数据。该数据集是在欧洲航天局的气候变化倡议土地覆盖地图基础上，经过叠加咸海流域边界矢量数据进行掩膜处理、类别合并，最终得到自然植被、人工植被、水体、裸地、湿地、冰雪、城市与建筑区域7个土地利用类型的一级类数据，WGS-1984坐标系，空间分辨率300米，整体准确率达到80%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该数据集来源于欧洲航天局的气候变化倡议土地覆盖地图（http://maps.elie.ucl.ac.be/CCI）。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土地覆盖地图的基础上用咸海流域的边界数据进行掩膜处理，提取出咸海流域的土地利用，同时，根据一定的规则进行合并，将原始的二级类数据合并为包含7个土地利用类型的一级类数据，坐标系为：WGS-1984，空间分辨率300米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该数据集的整体准确率达到80%。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 ,  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2000-2020年咸海流域300米土地利用数据集. 干旱区生态与资源科学数据中心(https://data.dcxjegi.cn), 2025. https://cstr.cn/CSTR:33110.11.ariddc.00315.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