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第八卷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分类与检索，详细描述了被子植物门、裸子植物门等类群的形态特征，涵盖茄科、玄参科、唇形科等重要科属（如茄属Solanum、婆婆纳属Veronica），提供了分属分种检索表，并附237幅原创插图辅助鉴定。第二部分为生态分布与区系分析，基于 1951-1960年野外调查数据，揭示了植物在荒漠草原、山地森林、盐碱地等不同生态区的分布规律，重点讨论了干旱区特有物种（如盐生植物、旱生草本）的适应性特征及与环境的相互作用。第三部分为经济与应用价值，评估了药用植物（如甘草、麻黄）、食用植物（如野生浆果）和生态保护物种（如濒危草本）的资源状况，提出了珍稀物种保护建议及可持续利用策略。全文整合了分类学、生态学与资源学数据，为中亚植物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В. Павлов 出版社：哈萨克斯坦科学院出版社 出版地：阿拉木图 出版年：1965年 页数：469页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第八卷》的数据信息，未改动删减。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第八卷》的数据信息，数据质量可靠。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植物志,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第八卷. 干旱区生态与资源科学数据中心(https://data.dcxjegi.cn), 2025. https://cstr.cn/CSTR:33110.11.ariddc.01010.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