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2019、2020年咸海流域1km归一化植被指数月均数据集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2019年和2020年咸海流域NDVI月均值数据。提取美国国家航空航天局中分辨率成像光谱仪MOD13A2产品第一波段作为归一化植被指数数据，乘以比例因子0.0001，叠加咸海流域边界数据，裁切后得到咸海流域范围内的NDVI月均值数据。每月一期，一年12期，2019-2020年共24张栅格图像。空间分辨率为1000m×1000m，时间分辨率为1个月，投影坐标为GCS_WGS_1984，每个像元的值为每个月的归一化植被指数的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来源于美国国家航空航天局中分辨率成像光谱仪MOD13A2产品第一波段。Modis影像数据：https://ladsweb.modaps.eosdis.nasa.gov/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提取MOD13A2产品第一波段作为叶面积指数数据，乘以比例因子0.0001。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空间分辨率为1000m×1000m，时间分辨率为1个月，每个像元的值为每个月归一化植被指数的平均值，投影坐标为GCS_WGS_1984。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归一化植被指数,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,  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2019、2020年咸海流域1km归一化植被指数月均数据集. 干旱区生态与资源科学数据中心(https://data.dcxjegi.cn), 2025. https://cstr.cn/CSTR:33110.11.ariddc.00313.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