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2019、2020年咸海流域1km归一化植被指数月均数据集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2019年和2020年咸海流域NDVI月均值数据。提取美国国家航空航天局中分辨率成像光谱仪MOD13A2产品第一波段作为归一化植被指数数据，乘以比例因子0.0001，叠加咸海流域边界数据，裁切后得到咸海流域范围内的NDVI月均值数据。每月一期，一年12期，2019-2020年共24张栅格图像。空间分辨率为1000m×1000m，时间分辨率为1个月，投影坐标为GCS_WGS_1984，每个像元的值为每个月的归一化植被指数的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来源于美国国家航空航天局中分辨率成像光谱仪MOD13A2产品第一波段。Modis影像数据：https://ladsweb.modaps.eosdis.nasa.gov/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提取MOD13A2产品第一波段作为叶面积指数数据，乘以比例因子0.0001。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空间分辨率为1000m×1000m，时间分辨率为1个月，每个像元的值为每个月归一化植被指数的平均值，投影坐标为GCS_WGS_1984。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2019/01/01-2020/12/31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NDVI, 归一化植被指数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 ,  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钱静,刘铁. 2019、2020年咸海流域1km归一化植被指数月均数据集. 干旱区生态与资源科学数据中心(https://data.dcxjegi.cn), 2025. https://cstr.cn/CSTR:33110.11.ariddc.00313.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