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10.12389/ariddc.00557</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33110.11.ariddc.00557</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 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Category:</w:t>
      </w:r>
      <w:r>
        <w:rPr>
          <w:rFonts w:ascii="Times New Roman" w:hAnsi="Times New Roman" w:hint="eastAsia"/>
          <w:sz w:val="24"/>
          <w:szCs w:val="24"/>
          <w:lang w:eastAsia="zh-CN"/>
        </w:rPr>
        <w:t xml:space="preserve">MODIS</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size:1.8 GiB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Coordinate system: WGS84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Projection</w:t>
      </w:r>
      <w:r>
        <w:rPr>
          <w:rFonts w:ascii="Times New Roman" w:hAnsi="Times New Roman"/>
          <w:sz w:val="24"/>
          <w:szCs w:val="24"/>
          <w:lang w:eastAsia="zh-CN"/>
        </w:rPr>
        <w:t xml:space="preserve">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Theme:leaf area index</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Subject:geography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Time:2000 2001 2002 2003 2004 2005 2006 2007 2008 2009 2010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Place:Xinjiang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contacts:None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contributors:li jun li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author:li jin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manager:li jin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In order to protect the rights and interests of the platform's scientific and technological resources, expand the services of the platform center, and enhance the application potential of scientific and technological resources,resource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r w:rsidR="0046133D">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li jun li. Xinjiang MODIS_1km_8-day synthetic leaf area index products (2000-2010). Arid Land Ecology and Resources Science Data Center(https://data.dcxjegi.cn), 2025. https://cstr.cn/CSTR:33110.11.ariddc.00557.</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