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新疆MODIS_1km_8天合成叶面积指数产品（2000-2010年）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叶面积指数15A2分幅数据为数据源，数据分辩率为1KM，8天合成，利用ENVI软件平台，进行数据拼接、投影转换、边界裁切等影像处理，生成2000-2010年新疆叶面积指数数据,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2000年-2010年MODIS的叶面积指数15A2数据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数据拼接，选取新疆范围内的2000年-2010年MODIS的叶面积指数15A2数据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新疆MODIS_1km_8天合成叶面积指数产品（2000-2010年）. 干旱区生态与资源科学数据中心(https://data.dcxjegi.cn), 2025. https://cstr.cn/CSTR:33110.11.ariddc.00557.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