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2000、2010年中亚地区MODIS_250米地表含水量MSWCI数据集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中分辨率成像光谱仪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2000年和2010年乌兹别克斯坦、吉尔吉斯斯坦、土库曼斯坦、塔吉克斯坦和哈萨克斯坦5个国家范围的地表含水量MSWCI数据。数据集包含2种：分别是①从2000年和2010年的第97天开始（含第97天的），每16天一个中亚五国范围的地表含水量img格式文件，共24个栅格文件；② 2个年平均地表含水量数据2000MSWCI_Clip.img和2010MSWCI_Clip.img格式文件。 本数据集是对原始数据经过降尺度处理生成的，空间分辨率为250米，采用Albers投影坐标系。 数据反映了中亚地区地表含水量时间变化与空间分布特征, 反映植被水分的亏缺程度，可利用此数据进行干旱监测。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数据源来自MOD09A1产品。 1. 2000年第97、113、129、145、161、177、193、209、225、241、257天的MOD09A1数据； 2. 2010年第97、113、129、145、161、177、193、209、225、241、257天的MOD09A1数据；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是利用MODIS数据的第6、第7波段反射率值，得到SWCI，加入L参数修正SWCI，得到修正后的地表含水量指数MSWCI。利用修正后的地表含水量指数MSWCI分别反演出2000年和2010年4月1日至9月31日每8天中亚地区地表含水量，进而计算出这两个时段该地区的平均含水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获取的数据需要整理和计算处理才能使用，对研究区范围土要的气象观测数据、MODIS数据进行整理和计算处理,包括空白数据、缺测数据、质量缺陷等,对有问题的数据进行分析,根据情况进行处理，得到精确度高的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2000/01/01-2010/01/01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307.7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250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地表含水量, 生态,  MSWCI</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陈秋晓,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陈秋晓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陈秋晓,陈曦. 2000、2010年中亚地区MODIS_250米地表含水量MSWCI数据集. 干旱区生态与资源科学数据中心(https://data.dcxjegi.cn), 2024. https://cstr.cn/CSTR:33110.11.ariddc.00122.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