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采样随机森林回归（RFR）方法构建新疆湖泊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采用2023年哨兵2号光学卫星数据为数据源。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2A/BMSI。Sentinel2A/BMSI拥有13个光谱波段，空间分辨率分别是10m、20m和60m，重访周期为10天，双星组网后为5天，在内陆水体表现了较好的性能。从欧空局哥白尼数据开放中心获取L1C数据。 采用欧空局提供的SEN2COR算法进行大气校正。但是SEN2COR为陆地大气校正算法，需要针对进一步去除天空光、太阳耀斑和残余气溶胶散射的影响： R_rs(λ)=(R(λ)-min⁡(R(865),R(2202)))/π 式中，Rrs为水体遥感反射率，R为SEN2COR校正获取的地表反射率。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scikit-learn软件包实现。 通过调整输入算法的最佳输入变量，各算法最优超参数通过格网化搜索方法获得。基于RFR算法精度较高：不确定性为（ϵ）为24.29%，偏差（β）为6.77%，斜率为0.90，均方根对数误差为0.219。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新疆10m水体悬浮物浓度数据集（2023年4-10月）. 干旱区生态与资源科学数据中心(https://data.dcxjegi.cn), 2025. https://cstr.cn/CSTR:33110.11.XIEG.XJSEDATA.2024.00100169.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