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流径流的波动与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科学院地理研究所编撰，聚焦河流径流的自然波动与人类活动影响，具体内容包括： 西西伯利亚河流的水量标准与丰枯变化； 北哈萨克斯坦河流的水量波动； 农业活动对河流径流的改变； 南外伏尔加地区径流的自然与人为因子分析； 土壤耕作对径流的影响实验； 淮河（Хуайхэ）流域水利改良对径流的改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Ю. 格列尔（С. Ю.Геллер） 出版社：ИздательствоАкадемиинаук СССР 出版地：莫斯科 出版年：1960年 页数：166页 语种：俄文 馆藏条形码：XJLASRU700261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河流径流的波动与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流径流的波动与变化》进行电子化加工处理，按照国家标准《GB/T 31219.2-2014图书馆馆藏资源数字化加工规范》要求，未改动删减《河流径流的波动与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,  水文, 河流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流径流的波动与变化. 干旱区生态与资源科学数据中心(https://data.dcxjegi.cn), 2025. https://cstr.cn/CSTR:33110.11.ariddc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