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新疆10米植被指数数据产品（2021年）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33110.11.XIEG.xjsedata.2022.00000030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经过辐射校正和几何校正的2021年1月至10月哨兵2号光学卫星数据红、近红波段为数据源，通过计算得出的数据。数据为WGS84坐标系，墨卡托投影，精度为10米，以1:25万标准分幅存储，共151分幅，每月一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采用经过辐射校正和几何校正的2021年1月至10月哨兵2号光学卫星数据红、近红波段为数据源。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用经过辐射校正和几何校正的2021年1月至10月哨兵2号光学卫星数据红、近红波段为数据源，通过计算公式NDVI=(Nir-Red)/(Nir+Red)计算得出结果。数据为WGS84坐标系，墨卡托投影，精度为10米，以1:25万标准分幅存储，共151分幅，每月一期，共10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数据生产按照中国国家标准标准号GB/T 41280-2022《卫星遥感影像植被指数产品规范》要求，采用经验模型法，经过辐射校正与几何校正，质量合格。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植被指数, 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王伟胜,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杨辽,王伟胜,方晖. 新疆10米植被指数数据产品（2021年）. 干旱区生态与资源科学数据中心(https://data.dcxjegi.cn), 2025. https://cstr.cn/CSTR:33110.11.XIEG.xjsedata.2022.00000030.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