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中亚水资源研究问题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中亚地区（特别是哈萨克斯坦东南部和中国新疆地区）水资源研究的论文集，内容涵盖水文地质、水文学、水资源管理、数学模型及计算机模拟等方面。书中探讨了地表水和地下水的形成过程、径流特征、生态现状，以及巴尔喀什湖、罗布泊、艾比湖等流域的水资源保护措施。此外，还包括气象、气候趋势、有机污染物及农药对水体的影响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作者（编委会）：Ж. С. 瑟德科夫（Ж. С. Сыдыков）、杨川德（Ян Чуандэ） 出版社：Издательство «Гылым» Республики Казахстан 出版地：阿拉木图 出版年：1993年 页数：256页 语种：俄文 ISBN号：5-628-01006-5 分类号：УДК 556.3: (574).556.18(574.5)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31219.2-2014图书馆馆藏资源数字化加工规范》，完全遵照《中亚水资源研究问题》的数据信息，未改动删减。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对收集到的《中亚水资源研究问题》进行电子化加工处理，按照国家标准《GB/T 31219.2-2014图书馆馆藏资源数字化加工规范》要求，未改动删减《中亚水资源研究问题》的数据信息，数据质量可靠。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水文,  水文地质,  数学模型,  生态,  计算机模拟,  地下水,  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中亚水资源研究问题. 干旱区生态与资源科学数据中心(https://data.dcxjegi.cn), 2025. https://cstr.cn/CSTR:33110.11.ariddc.01127.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