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18年咸海水体特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—2018年咸海的西岸水位（m）、水面面积（km2）、储水量（km3）和盐分（g/L)；1950-2001年阿姆河和锡尔河的矿化度（g/L)和流量（km3），其中两河的流量记录到2017年；1950-2001年咸海湖面降水量（km3）、湖面蒸发量（km3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http://www.cawater-info.net/aral/data/tabs_e.htm，网站下载） 和通过国际合作直接从中亚购买统计年鉴、相关专业书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后得到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权威可信度高，翻译整理中没有改变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，阿姆河，锡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矿化度, 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50-2018年咸海水体特征. 干旱区生态与资源科学数据中心(https://data.dcxjegi.cn), 2025. https://cstr.cn/CSTR:33110.11.ariddc.00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