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1950-2018年咸海水体特征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10.12389/ariddc.00395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1950—2018年咸海的西岸水位（m）、水面面积（km2）、储水量（km3）和盐分（g/L)；1950-2001年阿姆河和锡尔河的矿化度（g/L)和流量（km3），其中两河的流量记录到2017年；1950-2001年咸海湖面降水量（km3）、湖面蒸发量（km3）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主要包括中亚哈萨克斯坦、乌兹别克斯坦和吉尔吉斯斯坦公布的数据（http://www.cawater-info.net/aral/data/tabs_e.htm，网站下载） 和通过国际合作直接从中亚购买统计年鉴、相关专业书籍。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翻译整理后得到数据。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数据来源权威可信度高，翻译整理中没有改变数据内容。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咸海，阿姆河，锡尔河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水位,  矿化度,  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1950-2018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 阿姆河,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  黄粤,  郑新军,  罗毅,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吉力力·阿不都外力,黄粤,郑新军,罗毅,刘铁. 1950-2018年咸海水体特征. 干旱区生态与资源科学数据中心(https://data.dcxjegi.cn), 2025. https://cstr.cn/CSTR:33110.11.ariddc.00395.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