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18年咸海水体特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—2018年咸海的西岸水位（m）、水面面积（km2）、储水量（km3）和盐分（g/L)；1950-2001年阿姆河和锡尔河的矿化度（g/L)和流量（km3），其中两河的流量记录到2017年；1950-2001年咸海湖面降水量（km3）、湖面蒸发量（km3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http://www.cawater-info.net/aral/data/tabs_e.htm，网站下载） 和通过国际合作直接从中亚购买统计年鉴、相关专业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后得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权威可信度高，翻译整理中没有改变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，阿姆河，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矿化度, 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50-2018年咸海水体特征. 干旱区生态与资源科学数据中心(https://data.dcxjegi.cn), 2025. https://cstr.cn/CSTR:33110.11.ariddc.00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