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灌溉对地下水次生盐渍化、化学成分和动态的影响</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w:t>
      </w:r>
      <w:r>
        <w:rPr>
          <w:rFonts w:ascii="Times New Roman" w:hAnsi="Times New Roman" w:hint="eastAsia"/>
          <w:sz w:val="24"/>
          <w:szCs w:val="24"/>
          <w:lang w:eastAsia="zh-CN"/>
        </w:rPr>
        <w:t xml:space="preserve">10.12389/ariddc.02131</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w:t>
      </w:r>
      <w:r>
        <w:rPr>
          <w:rFonts w:ascii="Times New Roman" w:hAnsi="Times New Roman" w:hint="eastAsia"/>
          <w:sz w:val="24"/>
          <w:szCs w:val="24"/>
          <w:lang w:eastAsia="zh-CN"/>
        </w:rPr>
        <w:t xml:space="preserve">33110.11.ariddc.02131</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r>
        <w:rPr>
          <w:rFonts w:ascii="Times New Roman" w:hAnsi="Times New Roman" w:hint="eastAsia"/>
          <w:sz w:val="24"/>
          <w:szCs w:val="24"/>
          <w:lang w:eastAsia="zh-CN"/>
        </w:rPr>
        <w:t xml:space="preserve">图书</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根据本次会议论文集的内容，全书汇集了1962年塔什干国际水文地质学研讨会的报告，围绕干旱区灌溉引起的次生盐渍化、地下水动态及防治措施展开讨论。论文涉及中亚、美国、印度、巴基斯坦、埃及、匈牙利、法国等地的灌溉实践与盐渍化问题，涵盖了灌溉对地下水化学组成的影响、排水系统设计、盐渍土冲洗技术、地下水预测方法等多个方面，反映了20世纪60年代国际学术界在该领域的研究进展。可供水文地质学、土壤改良及灌溉工程领域的科研人员和工程技术人员参考。</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作者（编委会）：Г. А.马夫利亚诺夫, С. В.斯塔罗杜布采夫, В. А.科夫达, О. К.兰格, Г. А.马夫利亚诺夫, Ш. Ш.米尔扎耶夫, Г. В.博戈莫洛夫, А. И.西林-别克丘林, В. В.叶戈罗夫, Д. М.苏莱曼诺夫, Д. А.穆萨耶夫, М. М.马梅季亚罗夫, Б. В.费奥多罗夫, С. Н.雷若夫, А. М.奥夫钦尼科夫, А. Н.苏丹纳霍贾耶夫, Н. Л.莫罗索夫, П.西蒙诺, Г.奥贝尔, 纳齐尔·艾哈迈德, П.舒阿尔, 卢纳·B·利奥波德, I.萨博尔奇, А. Е.巴比涅茨, С. Т.兹沃尔斯基, А. П.瓦维洛夫, Н. В.罗戈夫斯卡娅, А. Т.莫罗佐夫, Л. Г.斯米尔诺娃, Л. В.奇林加罗娃, А. С.哈萨诺夫, П. П.莫斯卡利佐夫, S.马兹卢姆, А. Р.卡马利丁, А. Ф.阿卜杜拉, T.阿卜杜勒·瓦哈卜, S. P.拉伊乔杜里, 埃斯特万·斯特劳斯, M. M.埃尔加巴利, Н. М.列舍特金娜, Н. А.克涅萨林, Д. М.卡茨, Н. Н.哈吉巴耶夫, Ф. М.拉希姆巴耶夫, Е. Г.彼得罗夫, М. В.普列奥布拉任斯卡娅, А. Ф.恰尔金, А. Н.舍尔斯秋克, Г. А.伊布拉吉莫夫, А. В.列别杰夫, М. С.阿利莫夫, В. Г.加富罗夫, Ш. Ш.米尔扎耶夫, И. К.加维奇, 哈罗德·A·托马斯, М. М.克雷洛夫, В. Р.沃洛布耶夫, И. Я.卡明斯基, Е. Е.阿达梅茨, В. Л.德米特里耶夫, А. А.沃洛金娜, В. И.达维多维奇, П. В.鲍罗金, В. А.瓦西里耶夫, Ф.舒尔金, Г. Д.安东诺娃, Г. Х.哈利科夫, А. К.别赫布多夫, А. И.卡拉什尼科夫, М. А.布利金, M. M.埃尔加巴利, В. А.科夫达, J.梅雷迪厄, П.舒阿尔, 卢纳·B·利奥波德, S. P.拉伊乔杜里, Г. А.马夫利亚诺夫 （Г. А. Мавлянов, С. В. Стародубцев, В. А. Ковда, О. К. Ланге, Г. А. Мавлянов, Ш. Ш. Мирзаев, Г. В. Богомолов, А. И. Силин-Бекчурин, В. В. Егоров, Д. М. Сулейманов, Д. А. Мусаев, М. М. Мамедияров, Б. В. Федоров, С. Н. Рыжов, А. М. Овчинников, А. Н. Султанаходжаев, Н. Л. Морозов, P. Simonneau, G. Aubert, Nazir Ahmad, P. Chouard, Luna B. Leopold, I. Szabolcz, A. E. Бабинец, С. Т. Звольский, А. П. Вавилов, Н. В. Роговская, А. Т. Морозов, Л. Г. Смирнова, Л. В. Чилингарова, А. С. Хасанов, П. П. Москальцов, S. Mazlum, А. Р. Камалиддин, А. Ф. Абдула, T. Abdul Wahab, S. P. Raychaudhuri, Estevam Strauss, M. M. Elgabaly, Н. М. Решеткина, Н. А. Кнессарин, Д. М. Кац, Н. Н. Хаджибаев, Ф. М. Рахимбаев, Е. Г. Петров, М. В. Преображенская, А. Ф. Чаркин, А. Н. Шерстюк, Г. А. Ибрагимов, А. В. Лебедев, М. С. Алимов, В. Г. Гафуров, Ш. Ш. Мирзаев, И. К. Гавич, Harold A. Thomas, М. М. Крылов, В. Р. Волобуев, И. Я. Каминский, Е. Е. Адамец, В. Л. Дмитриев, А. А. Володина, В. И. Давидович, П. В. Бородин, В. А. Васильев, Ф. Шульгин, Г. Д. Антонова, Г. Х. Халиков, А. К. Бехбудов, А. И. Калашников, М. А. Булыгин, M. M. Elgabaly, В. А. Ковда, J. Meredieu, P. Chouard, Luna B. Leopold, S. P. Raychaudhuri, Г. А. Мавлянов） 出版社：Издательство «Наука» 出版地：莫斯科 出版年：1964年 页数：297页 语种：俄文 馆藏条形码：XJLAS RU 70020149</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本书为中国科学院新疆生态与地理研究所文献信息中心（以下简称中心）馆藏文献，中心将本书电子化后存储，未经过OCR识别，数据加工过程依据国家标准《GB/T 31219.2-2014图书馆馆藏资源数字化加工规范》，完全遵照《灌溉对地下水次生盐渍化、化学成分和动态的影响》的数据信息，未改动删减。</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lastRenderedPageBreak/>
        <w:t xml:space="preserve">对收集到的《灌溉对地下水次生盐渍化、化学成分和动态的影响》进行电子化加工处理，按照国家标准《GB/T 31219.2-2014图书馆馆藏资源数字化加工规范》要求，未改动删减《灌溉对地下水次生盐渍化、化学成分和动态的影响》的数据信息，数据质量可靠。</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w:t>
      </w:r>
      <w:r>
        <w:rPr>
          <w:rFonts w:ascii="Times New Roman" w:hAnsi="Times New Roman" w:hint="eastAsia"/>
          <w:sz w:val="24"/>
          <w:szCs w:val="24"/>
          <w:lang w:eastAsia="zh-CN"/>
        </w:rPr>
        <w:t xml:space="preserve">2025/07/29-2025/07/29</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w:t>
      </w:r>
      <w:r>
        <w:rPr>
          <w:rFonts w:ascii="Times New Roman" w:hAnsi="Times New Roman" w:hint="eastAsia"/>
          <w:sz w:val="24"/>
          <w:szCs w:val="24"/>
          <w:lang w:eastAsia="zh-CN"/>
        </w:rPr>
        <w:t xml:space="preserve">苏联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w:t>
      </w:r>
      <w:r>
        <w:rPr>
          <w:rFonts w:ascii="Times New Roman" w:hAnsi="Times New Roman" w:hint="eastAsia"/>
          <w:sz w:val="24"/>
          <w:szCs w:val="24"/>
          <w:lang w:eastAsia="zh-CN"/>
        </w:rPr>
        <w:t xml:space="preserve">174.4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数据格式</w:t>
      </w:r>
      <w:r>
        <w:rPr>
          <w:rFonts w:ascii="Times New Roman" w:hAnsi="Times New Roman"/>
          <w:sz w:val="24"/>
          <w:szCs w:val="24"/>
          <w:lang w:eastAsia="zh-CN"/>
        </w:rPr>
        <w:t>：</w:t>
      </w:r>
      <w:r>
        <w:rPr>
          <w:rFonts w:ascii="Times New Roman" w:hAnsi="Times New Roman" w:hint="eastAsia"/>
          <w:sz w:val="24"/>
          <w:szCs w:val="24"/>
          <w:lang w:eastAsia="zh-CN"/>
        </w:rPr>
        <w:t xml:space="preserve">PDF格式</w:t>
      </w:r>
    </w:p>
    <w:p w14:paraId="6E62FBC6"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数据空间分辨率</w:t>
      </w:r>
      <w:r>
        <w:rPr>
          <w:rFonts w:ascii="Times New Roman" w:hAnsi="Times New Roman" w:hint="eastAsia"/>
          <w:sz w:val="24"/>
          <w:szCs w:val="24"/>
          <w:lang w:eastAsia="zh-CN"/>
        </w:rPr>
        <w:t>(/</w:t>
      </w:r>
      <w:r>
        <w:rPr>
          <w:rFonts w:ascii="Times New Roman" w:hAnsi="Times New Roman" w:hint="eastAsia"/>
          <w:sz w:val="24"/>
          <w:szCs w:val="24"/>
          <w:lang w:eastAsia="zh-CN"/>
        </w:rPr>
        <w:t>米</w:t>
      </w:r>
      <w:r>
        <w:rPr>
          <w:rFonts w:ascii="Times New Roman" w:hAnsi="Times New Roman" w:hint="eastAsia"/>
          <w:sz w:val="24"/>
          <w:szCs w:val="24"/>
          <w:lang w:eastAsia="zh-CN"/>
        </w:rPr>
        <w:t>)</w:t>
      </w:r>
      <w:r>
        <w:rPr>
          <w:rFonts w:ascii="Times New Roman" w:hAnsi="Times New Roman"/>
          <w:sz w:val="24"/>
          <w:szCs w:val="24"/>
          <w:lang w:eastAsia="zh-CN"/>
        </w:rPr>
        <w:t>：</w:t>
      </w:r>
      <w:r>
        <w:rPr>
          <w:rFonts w:ascii="Times New Roman" w:hAnsi="Times New Roman" w:hint="eastAsia"/>
          <w:sz w:val="24"/>
          <w:szCs w:val="24"/>
          <w:lang w:eastAsia="zh-CN"/>
        </w:rPr>
        <w:t xml:space="preserve">无</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数据时间分辨率：</w:t>
      </w:r>
      <w:r>
        <w:rPr>
          <w:rFonts w:ascii="Times New Roman" w:hAnsi="Times New Roman" w:hint="eastAsia"/>
          <w:sz w:val="24"/>
          <w:szCs w:val="24"/>
          <w:lang w:eastAsia="zh-CN"/>
        </w:rPr>
        <w:t xml:space="preserve">无</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无 </w:t>
      </w:r>
    </w:p>
    <w:p w14:paraId="09A0556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投影：</w:t>
      </w:r>
      <w:r>
        <w:rPr>
          <w:rFonts w:ascii="Times New Roman" w:hAnsi="Times New Roman" w:hint="eastAsia"/>
          <w:sz w:val="24"/>
          <w:szCs w:val="24"/>
          <w:lang w:eastAsia="zh-CN"/>
        </w:rPr>
        <w:t xml:space="preserve"/>
      </w:r>
      <w:r>
        <w:rPr>
          <w:rFonts w:ascii="Times New Roman" w:hAnsi="Times New Roman"/>
          <w:sz w:val="24"/>
          <w:szCs w:val="24"/>
          <w:lang w:eastAsia="zh-CN"/>
        </w:rPr>
        <w:t xml:space="preserve"> 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主题：</w:t>
      </w:r>
      <w:r>
        <w:rPr>
          <w:rFonts w:ascii="Times New Roman" w:hAnsi="Times New Roman" w:hint="eastAsia"/>
          <w:sz w:val="24"/>
          <w:szCs w:val="24"/>
          <w:lang w:eastAsia="zh-CN"/>
        </w:rPr>
        <w:t xml:space="preserve">水文,  地质,  土壤改良,  地下水,  盐渍土,  灌溉</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学科：</w:t>
      </w:r>
      <w:r>
        <w:rPr>
          <w:rFonts w:ascii="Times New Roman" w:hAnsi="Times New Roman" w:hint="eastAsia"/>
          <w:sz w:val="24"/>
          <w:szCs w:val="24"/>
          <w:lang w:eastAsia="zh-CN"/>
        </w:rPr>
        <w:t xml:space="preserve">地质学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时间：</w:t>
      </w:r>
      <w:r>
        <w:rPr>
          <w:rFonts w:ascii="Times New Roman" w:hAnsi="Times New Roman" w:hint="eastAsia"/>
          <w:sz w:val="24"/>
          <w:szCs w:val="24"/>
          <w:lang w:eastAsia="zh-CN"/>
        </w:rPr>
        <w:t xml:space="preserve">1964</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地点：</w:t>
      </w:r>
      <w:r>
        <w:rPr>
          <w:rFonts w:ascii="Times New Roman" w:hAnsi="Times New Roman" w:hint="eastAsia"/>
          <w:sz w:val="24"/>
          <w:szCs w:val="24"/>
          <w:lang w:eastAsia="zh-CN"/>
        </w:rPr>
        <w:t xml:space="preserve">苏联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w:t>
      </w:r>
      <w:r>
        <w:rPr>
          <w:rFonts w:ascii="Times New Roman" w:hAnsi="Times New Roman" w:hint="eastAsia"/>
          <w:sz w:val="24"/>
          <w:szCs w:val="24"/>
          <w:lang w:eastAsia="zh-CN"/>
        </w:rPr>
        <w:t xml:space="preserve">李锦</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w:t>
      </w:r>
      <w:r>
        <w:rPr>
          <w:rFonts w:ascii="Times New Roman" w:hAnsi="Times New Roman" w:hint="eastAsia"/>
          <w:sz w:val="24"/>
          <w:szCs w:val="24"/>
          <w:lang w:eastAsia="zh-CN"/>
        </w:rPr>
        <w:t xml:space="preserv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w:t>
      </w:r>
      <w:r>
        <w:rPr>
          <w:rFonts w:ascii="Times New Roman" w:hAnsi="Times New Roman" w:hint="eastAsia"/>
          <w:sz w:val="24"/>
          <w:szCs w:val="24"/>
          <w:lang w:eastAsia="zh-CN"/>
        </w:rPr>
        <w:t xml:space="preserve">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w:t>
      </w:r>
      <w:r>
        <w:rPr>
          <w:rFonts w:ascii="Times New Roman" w:hAnsi="Times New Roman" w:hint="eastAsia"/>
          <w:sz w:val="24"/>
          <w:szCs w:val="24"/>
          <w:lang w:eastAsia="zh-CN"/>
        </w:rPr>
        <w:t xml:space="preserve">文献信息中心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w:t>
      </w:r>
      <w:r>
        <w:rPr>
          <w:rFonts w:ascii="Times New Roman" w:hAnsi="Times New Roman" w:hint="eastAsia"/>
          <w:sz w:val="24"/>
          <w:szCs w:val="24"/>
          <w:lang w:eastAsia="zh-CN"/>
        </w:rPr>
        <w:t xml:space="preserve">文献信息中心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w:t>
      </w:r>
      <w:r>
        <w:rPr>
          <w:rFonts w:ascii="Times New Roman" w:hAnsi="Times New Roman" w:hint="eastAsia"/>
          <w:sz w:val="24"/>
          <w:szCs w:val="24"/>
          <w:lang w:eastAsia="zh-CN"/>
        </w:rPr>
        <w:t xml:space="preserve">文献信息中心</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编号：</w:t>
      </w:r>
      <w:r>
        <w:rPr>
          <w:rFonts w:ascii="Times New Roman" w:hAnsi="Times New Roman" w:hint="eastAsia"/>
          <w:sz w:val="24"/>
          <w:szCs w:val="24"/>
          <w:lang w:eastAsia="zh-CN"/>
        </w:rPr>
        <w:t xml:space="preserve">PT2406</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中亚资源环境科学数据与科技文献共享平台</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为保障平台科技资源的权益、扩展平台中心的服务、提升科技资源的应用潜力，请资源使用者在使用资源所产生的研究成果中（包括公开发表的论文、论著、</w:t>
      </w:r>
      <w:r>
        <w:rPr>
          <w:rFonts w:ascii="Times New Roman" w:hAnsi="Times New Roman" w:hint="eastAsia"/>
          <w:color w:val="C00000"/>
          <w:sz w:val="24"/>
          <w:szCs w:val="24"/>
          <w:lang w:eastAsia="zh-CN"/>
        </w:rPr>
        <w:lastRenderedPageBreak/>
        <w:t>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数据来源于</w:t>
      </w:r>
      <w:r w:rsidR="00F24FBB">
        <w:rPr>
          <w:rFonts w:ascii="Times New Roman" w:hAnsi="Times New Roman" w:hint="eastAsia"/>
          <w:color w:val="2E74B5" w:themeColor="accent1" w:themeShade="BF"/>
          <w:sz w:val="24"/>
          <w:szCs w:val="24"/>
          <w:lang w:eastAsia="zh-CN"/>
        </w:rPr>
        <w:t xml:space="preserve">干早区生态与资源科学数据中心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https://data.dcxjegi.cn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r w:rsidR="00545729">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文献信息中心. 灌溉对地下水次生盐渍化、化学成分和动态的影响. 干旱区生态与资源科学数据中心(https://data.dcxjegi.cn), 2026. https://cstr.cn/CSTR:33110.11.ariddc.02131.</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