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2019年乌兹克克斯坦Urganch灌区农作物种植结构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2019年乌兹克克斯坦Urganch灌区10M分辨率的种植结构的空间分布。数据包含水域、玉米、水稻、小麦、棉花、（园地、葡萄、苹果、苜蓿、桃树）、（林地、桑树）、（弃耕地、休耕地、退耕地、荒地）、（大棚、蔬菜、苜蓿、啤酒花）、盐碱地、荒漠、草地等12大种植结构类别，种植面积信息，以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是在GEE平台上利用随机森林算法并结合采集的样本点数据计算得出的，为了区分方便，在计算过程中我们将每一种相似作物类型用一个阿拉伯数字表示，计算完的.tif结果再用分区统计的方式链接到提取的耕地上，在这个过程中，我们把表示作物类型的字段保留下来，即max字段，每个阿拉伯数字对应的作物类型如下表所示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Kappa系数80%。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2019/01/06-2020/01/06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乌兹别克斯坦Urganch灌区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陆地表层遥感,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Urganch灌区,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42.40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61.52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2019年乌兹克克斯坦Urganch灌区农作物种植结构. 干旱区生态与资源科学数据中心(https://data.dcxjegi.cn), 2025. https://cstr.cn/CSTR:33110.11.ariddc.00283.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