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2000-2011年新疆湖泊面积数据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本数据是新疆水面面积大于100平方公里的11个湖泊的面积数据，包含新疆博斯腾湖、布伦托海、阿雅克库木湖、艾比湖、赛里木湖、阿其格库勒、鲸鱼湖、阿克塞钦湖、吉力湖、巴里坤湖和玛纳斯湖。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选取MODIS 数据产品MOD09A1( MODIS Aqua Surface Reflectance 1－7 8-Day L3 Global 500 m) 。在美国地质勘探局网站( http: / /www. usgs.gov /) 上免费下载2000－2011年共12 a 的MODIS 数据。为减少降水、雪冰融水等气候和人类活动用水对湖泊水面面积短时段内变化的影响，选取每年9月下旬的MODIS影像数据。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利用ENVI 软件从2000－2011 年的MOD09A1影像中提取新疆水面面积大于100 km2 的11个湖泊面积数据. 水体提取处理方法 在水体的提取过程中，为增强水体的有效信息和排除非水体的干扰，主要采用单波段法、多波段法和水体指数法等水体遥感数据识别方法。其中。Mcfeeters借鉴归一化植被指数的构建思想，提出了归一化差异水体指数( NDWI)，能够很好地提取水体信息。其在MODIS 数据中应用的公式为: NDWI = ( CH4 － CH2) /( CH4 + CH2) 式中: CH4为MODIS 影像中第4通道的绿光波段( 0.545～0.565 μm) ; CH2为影像中第2 通道近红外波段( 0.841～0.876 μm) 。水体提取采用NDWI 计算值，确定湖泊感兴趣区，依照年份采用阈值法逐个提取湖泊数据。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整个过程在ENVI 软件中操作，首先确定所研究的11个湖泊所在区域，然后对所在的MOD09A1产品影像计算NDWI指数值。接着采用直方图阈值法提取水体，为保证在年份上的一致性，各个湖泊按照年份依次提取。同时，为确保水体提取的精度，排除非水体的干扰，建立每个湖泊的感兴趣区，把湖泊确定在较小的感兴趣区范围内。最后设定阈值，得到感兴趣区内认定为水体的像元数，乘以单个像元面积，获得湖泊水域面积。考虑到云雪对阈值设定的干扰，对有大量云雪的区域做记录并处理以减小误差。另外，湿润的土壤对阈值特别是在浅水位的湖泊(艾比湖、玛纳斯湖) 确定造成的影响，水域面积会有湿润土壤算入而造成误差。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白瑞东,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陈曦,白瑞东,吴敬禄. 2000-2011年新疆湖泊面积数据. 干旱区生态与资源科学数据中心(https://data.dcxjegi.cn), 2024. https://cstr.cn/CSTR:33110.11.ariddc.00198.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